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2CA" w:rsidRPr="00BA321C" w:rsidRDefault="004642CA" w:rsidP="00BA321C">
      <w:pPr>
        <w:pStyle w:val="29"/>
        <w:shd w:val="clear" w:color="auto" w:fill="FFFFFF" w:themeFill="background1"/>
        <w:spacing w:after="0" w:line="360" w:lineRule="auto"/>
        <w:ind w:firstLine="709"/>
        <w:jc w:val="center"/>
        <w:rPr>
          <w:rFonts w:ascii="Times New Roman" w:hAnsi="Times New Roman"/>
          <w:b/>
          <w:bCs/>
          <w:sz w:val="28"/>
          <w:szCs w:val="28"/>
        </w:rPr>
      </w:pPr>
      <w:r w:rsidRPr="00BA321C">
        <w:rPr>
          <w:rFonts w:ascii="Times New Roman" w:hAnsi="Times New Roman"/>
          <w:sz w:val="28"/>
          <w:szCs w:val="28"/>
        </w:rPr>
        <w:t>ФГАОУ ВПО «Казанский (Приволжский) федеральный университет»</w:t>
      </w:r>
    </w:p>
    <w:p w:rsidR="00A90B22" w:rsidRPr="00BA321C" w:rsidRDefault="00A90B22" w:rsidP="00BA321C">
      <w:pPr>
        <w:shd w:val="clear" w:color="auto" w:fill="FFFFFF" w:themeFill="background1"/>
        <w:spacing w:after="0" w:line="360" w:lineRule="auto"/>
        <w:ind w:firstLine="851"/>
        <w:jc w:val="center"/>
        <w:rPr>
          <w:rFonts w:ascii="Times New Roman" w:hAnsi="Times New Roman"/>
          <w:b/>
          <w:sz w:val="36"/>
          <w:szCs w:val="28"/>
        </w:rPr>
      </w:pPr>
    </w:p>
    <w:p w:rsidR="004642CA" w:rsidRPr="00BA321C" w:rsidRDefault="004642CA" w:rsidP="00BA321C">
      <w:pPr>
        <w:shd w:val="clear" w:color="auto" w:fill="FFFFFF" w:themeFill="background1"/>
        <w:autoSpaceDE w:val="0"/>
        <w:autoSpaceDN w:val="0"/>
        <w:spacing w:after="0" w:line="360" w:lineRule="auto"/>
        <w:ind w:firstLine="709"/>
        <w:jc w:val="right"/>
        <w:rPr>
          <w:rFonts w:ascii="Times New Roman" w:hAnsi="Times New Roman"/>
          <w:i/>
          <w:sz w:val="28"/>
          <w:szCs w:val="28"/>
        </w:rPr>
      </w:pPr>
      <w:r w:rsidRPr="00BA321C">
        <w:rPr>
          <w:rFonts w:ascii="Times New Roman" w:hAnsi="Times New Roman"/>
          <w:i/>
          <w:sz w:val="28"/>
          <w:szCs w:val="28"/>
        </w:rPr>
        <w:t>На правах рукописи</w:t>
      </w:r>
    </w:p>
    <w:p w:rsidR="004642CA" w:rsidRPr="00BA321C" w:rsidRDefault="004642CA" w:rsidP="00BA321C">
      <w:pPr>
        <w:shd w:val="clear" w:color="auto" w:fill="FFFFFF" w:themeFill="background1"/>
        <w:spacing w:after="0" w:line="360" w:lineRule="auto"/>
        <w:ind w:firstLine="851"/>
        <w:jc w:val="center"/>
        <w:rPr>
          <w:rFonts w:ascii="Times New Roman" w:hAnsi="Times New Roman"/>
          <w:b/>
          <w:sz w:val="36"/>
          <w:szCs w:val="28"/>
        </w:rPr>
      </w:pPr>
    </w:p>
    <w:p w:rsidR="00A90B22" w:rsidRPr="00BA321C" w:rsidRDefault="00A90B22" w:rsidP="00BA321C">
      <w:pPr>
        <w:shd w:val="clear" w:color="auto" w:fill="FFFFFF" w:themeFill="background1"/>
        <w:spacing w:after="0" w:line="360" w:lineRule="auto"/>
        <w:ind w:firstLine="851"/>
        <w:jc w:val="both"/>
        <w:rPr>
          <w:rFonts w:ascii="Times New Roman" w:hAnsi="Times New Roman"/>
          <w:b/>
          <w:sz w:val="28"/>
          <w:szCs w:val="28"/>
        </w:rPr>
      </w:pPr>
    </w:p>
    <w:p w:rsidR="00A90B22" w:rsidRPr="00BA321C" w:rsidRDefault="008B77A2" w:rsidP="00BA321C">
      <w:pPr>
        <w:shd w:val="clear" w:color="auto" w:fill="FFFFFF" w:themeFill="background1"/>
        <w:spacing w:after="0" w:line="360" w:lineRule="auto"/>
        <w:jc w:val="center"/>
        <w:rPr>
          <w:rFonts w:ascii="Times New Roman" w:hAnsi="Times New Roman"/>
          <w:b/>
          <w:sz w:val="28"/>
          <w:szCs w:val="28"/>
        </w:rPr>
      </w:pPr>
      <w:r w:rsidRPr="00BA321C">
        <w:rPr>
          <w:rFonts w:ascii="Times New Roman" w:hAnsi="Times New Roman"/>
          <w:b/>
          <w:sz w:val="28"/>
          <w:szCs w:val="28"/>
        </w:rPr>
        <w:t xml:space="preserve">ГАЛЯВОВ </w:t>
      </w:r>
      <w:r w:rsidR="004642CA" w:rsidRPr="00BA321C">
        <w:rPr>
          <w:rFonts w:ascii="Times New Roman" w:hAnsi="Times New Roman"/>
          <w:b/>
          <w:sz w:val="28"/>
          <w:szCs w:val="28"/>
        </w:rPr>
        <w:t>Адель Асфанович</w:t>
      </w:r>
    </w:p>
    <w:p w:rsidR="008B77A2" w:rsidRPr="00BA321C" w:rsidRDefault="008B77A2" w:rsidP="00BA321C">
      <w:pPr>
        <w:shd w:val="clear" w:color="auto" w:fill="FFFFFF" w:themeFill="background1"/>
        <w:spacing w:after="0" w:line="360" w:lineRule="auto"/>
        <w:jc w:val="center"/>
        <w:rPr>
          <w:rFonts w:ascii="Times New Roman" w:hAnsi="Times New Roman"/>
          <w:b/>
          <w:sz w:val="28"/>
          <w:szCs w:val="28"/>
        </w:rPr>
      </w:pPr>
    </w:p>
    <w:p w:rsidR="00F94656" w:rsidRPr="00BA321C" w:rsidRDefault="00F94656" w:rsidP="00BA321C">
      <w:pPr>
        <w:shd w:val="clear" w:color="auto" w:fill="FFFFFF" w:themeFill="background1"/>
        <w:spacing w:after="0" w:line="360" w:lineRule="auto"/>
        <w:ind w:firstLine="851"/>
        <w:jc w:val="both"/>
        <w:rPr>
          <w:rFonts w:ascii="Times New Roman" w:hAnsi="Times New Roman"/>
          <w:b/>
          <w:sz w:val="28"/>
          <w:szCs w:val="28"/>
        </w:rPr>
      </w:pPr>
    </w:p>
    <w:p w:rsidR="006619B3" w:rsidRPr="00BA321C" w:rsidRDefault="006619B3" w:rsidP="00BA321C">
      <w:pPr>
        <w:shd w:val="clear" w:color="auto" w:fill="FFFFFF" w:themeFill="background1"/>
        <w:spacing w:after="0" w:line="360" w:lineRule="auto"/>
        <w:jc w:val="center"/>
        <w:rPr>
          <w:rFonts w:ascii="Times New Roman" w:hAnsi="Times New Roman"/>
          <w:b/>
          <w:sz w:val="28"/>
          <w:szCs w:val="28"/>
        </w:rPr>
      </w:pPr>
    </w:p>
    <w:p w:rsidR="00053CD6" w:rsidRPr="00BA321C" w:rsidRDefault="00053CD6" w:rsidP="00BA321C">
      <w:pPr>
        <w:shd w:val="clear" w:color="auto" w:fill="FFFFFF" w:themeFill="background1"/>
        <w:spacing w:after="0" w:line="360" w:lineRule="auto"/>
        <w:jc w:val="center"/>
        <w:rPr>
          <w:rFonts w:ascii="Times New Roman" w:hAnsi="Times New Roman"/>
          <w:b/>
          <w:sz w:val="28"/>
          <w:szCs w:val="28"/>
        </w:rPr>
      </w:pPr>
      <w:r w:rsidRPr="00BA321C">
        <w:rPr>
          <w:rFonts w:ascii="Times New Roman" w:hAnsi="Times New Roman"/>
          <w:b/>
          <w:sz w:val="28"/>
          <w:szCs w:val="28"/>
        </w:rPr>
        <w:t>МЕХАНИЗМЫ ОРГАНИЗАЦИОННО-ЭКОНОМИЧЕСКОГО РАЗВИТИЯ РЕГИОНАЛЬНЫХ ПРОИЗВОДИТЕЛЬНЫХ СИЛ (НА ПРИМЕРЕ РЕГИОНОВ ПРИВОЛЖСКОГО ФЕДЕРАЛЬНОГО ОКРУГА)</w:t>
      </w:r>
    </w:p>
    <w:p w:rsidR="00053CD6" w:rsidRPr="00BA321C" w:rsidRDefault="00053CD6" w:rsidP="00BA321C">
      <w:pPr>
        <w:shd w:val="clear" w:color="auto" w:fill="FFFFFF" w:themeFill="background1"/>
        <w:spacing w:after="0" w:line="360" w:lineRule="auto"/>
        <w:jc w:val="center"/>
        <w:rPr>
          <w:rFonts w:ascii="Times New Roman" w:hAnsi="Times New Roman"/>
          <w:b/>
          <w:sz w:val="28"/>
          <w:szCs w:val="28"/>
        </w:rPr>
      </w:pPr>
    </w:p>
    <w:p w:rsidR="00F94656" w:rsidRPr="00BA321C" w:rsidRDefault="00F94656" w:rsidP="00BA321C">
      <w:pPr>
        <w:shd w:val="clear" w:color="auto" w:fill="FFFFFF" w:themeFill="background1"/>
        <w:spacing w:after="0" w:line="360" w:lineRule="auto"/>
        <w:jc w:val="center"/>
        <w:rPr>
          <w:rFonts w:ascii="Times New Roman" w:hAnsi="Times New Roman"/>
          <w:b/>
          <w:sz w:val="28"/>
          <w:szCs w:val="28"/>
        </w:rPr>
      </w:pPr>
    </w:p>
    <w:p w:rsidR="004642CA" w:rsidRPr="00BA321C" w:rsidRDefault="004642CA"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Специальность 08.00.05 – Экономика и управление народным хозяйством (региональная экономика)</w:t>
      </w:r>
    </w:p>
    <w:p w:rsidR="004642CA" w:rsidRPr="00BA321C" w:rsidRDefault="004642CA" w:rsidP="00BA321C">
      <w:pPr>
        <w:shd w:val="clear" w:color="auto" w:fill="FFFFFF" w:themeFill="background1"/>
        <w:autoSpaceDE w:val="0"/>
        <w:autoSpaceDN w:val="0"/>
        <w:spacing w:after="0" w:line="360" w:lineRule="auto"/>
        <w:ind w:firstLine="709"/>
        <w:jc w:val="center"/>
        <w:rPr>
          <w:rFonts w:ascii="Times New Roman" w:hAnsi="Times New Roman"/>
          <w:sz w:val="28"/>
          <w:szCs w:val="28"/>
        </w:rPr>
      </w:pPr>
    </w:p>
    <w:p w:rsidR="004642CA" w:rsidRPr="00BA321C" w:rsidRDefault="004642CA" w:rsidP="00BA321C">
      <w:pPr>
        <w:shd w:val="clear" w:color="auto" w:fill="FFFFFF" w:themeFill="background1"/>
        <w:autoSpaceDE w:val="0"/>
        <w:autoSpaceDN w:val="0"/>
        <w:spacing w:after="0" w:line="360" w:lineRule="auto"/>
        <w:ind w:firstLine="709"/>
        <w:jc w:val="center"/>
        <w:rPr>
          <w:rFonts w:ascii="Times New Roman" w:hAnsi="Times New Roman"/>
          <w:sz w:val="28"/>
          <w:szCs w:val="28"/>
        </w:rPr>
      </w:pPr>
      <w:r w:rsidRPr="00BA321C">
        <w:rPr>
          <w:rFonts w:ascii="Times New Roman" w:hAnsi="Times New Roman"/>
          <w:sz w:val="28"/>
          <w:szCs w:val="28"/>
        </w:rPr>
        <w:t xml:space="preserve">Диссертация на соискание ученой степени </w:t>
      </w:r>
    </w:p>
    <w:p w:rsidR="004642CA" w:rsidRPr="00BA321C" w:rsidRDefault="004642CA" w:rsidP="00BA321C">
      <w:pPr>
        <w:shd w:val="clear" w:color="auto" w:fill="FFFFFF" w:themeFill="background1"/>
        <w:autoSpaceDE w:val="0"/>
        <w:autoSpaceDN w:val="0"/>
        <w:spacing w:after="0" w:line="360" w:lineRule="auto"/>
        <w:ind w:firstLine="709"/>
        <w:jc w:val="center"/>
        <w:rPr>
          <w:rFonts w:ascii="Times New Roman" w:hAnsi="Times New Roman"/>
          <w:sz w:val="28"/>
          <w:szCs w:val="28"/>
        </w:rPr>
      </w:pPr>
      <w:r w:rsidRPr="00BA321C">
        <w:rPr>
          <w:rFonts w:ascii="Times New Roman" w:hAnsi="Times New Roman"/>
          <w:sz w:val="28"/>
          <w:szCs w:val="28"/>
        </w:rPr>
        <w:t>кандидата экономических наук</w:t>
      </w:r>
    </w:p>
    <w:p w:rsidR="004642CA" w:rsidRPr="00BA321C" w:rsidRDefault="004642CA" w:rsidP="00BA321C">
      <w:pPr>
        <w:shd w:val="clear" w:color="auto" w:fill="FFFFFF" w:themeFill="background1"/>
        <w:spacing w:after="0" w:line="360" w:lineRule="auto"/>
        <w:jc w:val="center"/>
        <w:rPr>
          <w:rFonts w:ascii="Times New Roman" w:hAnsi="Times New Roman"/>
          <w:b/>
          <w:sz w:val="28"/>
          <w:szCs w:val="28"/>
        </w:rPr>
      </w:pPr>
    </w:p>
    <w:p w:rsidR="006619B3" w:rsidRPr="00BA321C" w:rsidRDefault="006619B3" w:rsidP="00BA321C">
      <w:pPr>
        <w:shd w:val="clear" w:color="auto" w:fill="FFFFFF" w:themeFill="background1"/>
        <w:spacing w:after="0" w:line="360" w:lineRule="auto"/>
        <w:jc w:val="center"/>
        <w:rPr>
          <w:rFonts w:ascii="Times New Roman" w:hAnsi="Times New Roman"/>
          <w:b/>
          <w:sz w:val="28"/>
          <w:szCs w:val="28"/>
        </w:rPr>
      </w:pPr>
    </w:p>
    <w:tbl>
      <w:tblPr>
        <w:tblW w:w="0" w:type="auto"/>
        <w:tblLook w:val="04A0" w:firstRow="1" w:lastRow="0" w:firstColumn="1" w:lastColumn="0" w:noHBand="0" w:noVBand="1"/>
      </w:tblPr>
      <w:tblGrid>
        <w:gridCol w:w="5756"/>
        <w:gridCol w:w="3599"/>
      </w:tblGrid>
      <w:tr w:rsidR="006619B3" w:rsidRPr="00BA321C" w:rsidTr="001878CF">
        <w:tc>
          <w:tcPr>
            <w:tcW w:w="5920" w:type="dxa"/>
            <w:shd w:val="clear" w:color="auto" w:fill="auto"/>
          </w:tcPr>
          <w:p w:rsidR="006619B3" w:rsidRPr="00BA321C" w:rsidRDefault="006619B3" w:rsidP="00BA321C">
            <w:pPr>
              <w:shd w:val="clear" w:color="auto" w:fill="FFFFFF" w:themeFill="background1"/>
              <w:spacing w:after="0" w:line="360" w:lineRule="auto"/>
              <w:jc w:val="center"/>
              <w:rPr>
                <w:rFonts w:ascii="Times New Roman" w:hAnsi="Times New Roman"/>
                <w:b/>
                <w:sz w:val="28"/>
                <w:szCs w:val="28"/>
                <w:lang w:eastAsia="ru-RU"/>
              </w:rPr>
            </w:pPr>
          </w:p>
        </w:tc>
        <w:tc>
          <w:tcPr>
            <w:tcW w:w="3651" w:type="dxa"/>
            <w:shd w:val="clear" w:color="auto" w:fill="auto"/>
          </w:tcPr>
          <w:p w:rsidR="006619B3" w:rsidRPr="00BA321C" w:rsidRDefault="006619B3"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Научный руководитель</w:t>
            </w:r>
          </w:p>
          <w:p w:rsidR="006619B3" w:rsidRPr="00BA321C" w:rsidRDefault="006619B3"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 xml:space="preserve">Д-р экон. </w:t>
            </w:r>
            <w:r w:rsidR="00451925" w:rsidRPr="00BA321C">
              <w:rPr>
                <w:rFonts w:ascii="Times New Roman" w:hAnsi="Times New Roman"/>
                <w:sz w:val="28"/>
                <w:szCs w:val="28"/>
                <w:lang w:eastAsia="ru-RU"/>
              </w:rPr>
              <w:t>н</w:t>
            </w:r>
            <w:r w:rsidRPr="00BA321C">
              <w:rPr>
                <w:rFonts w:ascii="Times New Roman" w:hAnsi="Times New Roman"/>
                <w:sz w:val="28"/>
                <w:szCs w:val="28"/>
                <w:lang w:eastAsia="ru-RU"/>
              </w:rPr>
              <w:t>аук, профессор</w:t>
            </w:r>
          </w:p>
          <w:p w:rsidR="006619B3" w:rsidRPr="00BA321C" w:rsidRDefault="006619B3" w:rsidP="00BA321C">
            <w:pPr>
              <w:shd w:val="clear" w:color="auto" w:fill="FFFFFF" w:themeFill="background1"/>
              <w:spacing w:after="0" w:line="360" w:lineRule="auto"/>
              <w:jc w:val="both"/>
              <w:rPr>
                <w:rFonts w:ascii="Times New Roman" w:hAnsi="Times New Roman"/>
                <w:b/>
                <w:sz w:val="28"/>
                <w:szCs w:val="28"/>
                <w:lang w:eastAsia="ru-RU"/>
              </w:rPr>
            </w:pPr>
            <w:r w:rsidRPr="00BA321C">
              <w:rPr>
                <w:rFonts w:ascii="Times New Roman" w:hAnsi="Times New Roman"/>
                <w:sz w:val="28"/>
                <w:szCs w:val="28"/>
                <w:lang w:eastAsia="ru-RU"/>
              </w:rPr>
              <w:t>М. Р. Сафиуллин</w:t>
            </w:r>
          </w:p>
        </w:tc>
      </w:tr>
    </w:tbl>
    <w:p w:rsidR="00F94656" w:rsidRPr="00BA321C" w:rsidRDefault="00F94656" w:rsidP="00BA321C">
      <w:pPr>
        <w:shd w:val="clear" w:color="auto" w:fill="FFFFFF" w:themeFill="background1"/>
        <w:spacing w:after="0" w:line="360" w:lineRule="auto"/>
        <w:jc w:val="center"/>
        <w:rPr>
          <w:rFonts w:ascii="Times New Roman" w:hAnsi="Times New Roman"/>
          <w:sz w:val="28"/>
          <w:szCs w:val="28"/>
        </w:rPr>
      </w:pPr>
    </w:p>
    <w:p w:rsidR="00F94656" w:rsidRPr="00BA321C" w:rsidRDefault="00F94656" w:rsidP="00BA321C">
      <w:pPr>
        <w:shd w:val="clear" w:color="auto" w:fill="FFFFFF" w:themeFill="background1"/>
        <w:spacing w:after="0" w:line="360" w:lineRule="auto"/>
        <w:jc w:val="center"/>
        <w:rPr>
          <w:rFonts w:ascii="Times New Roman" w:hAnsi="Times New Roman"/>
          <w:sz w:val="28"/>
          <w:szCs w:val="28"/>
        </w:rPr>
      </w:pPr>
    </w:p>
    <w:p w:rsidR="00F94656" w:rsidRPr="00BA321C" w:rsidRDefault="00F94656" w:rsidP="00BA321C">
      <w:pPr>
        <w:shd w:val="clear" w:color="auto" w:fill="FFFFFF" w:themeFill="background1"/>
        <w:spacing w:after="0" w:line="360" w:lineRule="auto"/>
        <w:jc w:val="center"/>
        <w:rPr>
          <w:rFonts w:ascii="Times New Roman" w:hAnsi="Times New Roman"/>
          <w:sz w:val="28"/>
          <w:szCs w:val="28"/>
        </w:rPr>
      </w:pPr>
    </w:p>
    <w:p w:rsidR="000048DE" w:rsidRPr="00BA321C" w:rsidRDefault="004642CA"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Казань - 201</w:t>
      </w:r>
      <w:r w:rsidR="007E00BD" w:rsidRPr="00BA321C">
        <w:rPr>
          <w:rFonts w:ascii="Times New Roman" w:hAnsi="Times New Roman"/>
          <w:sz w:val="28"/>
          <w:szCs w:val="28"/>
        </w:rPr>
        <w:t>6</w:t>
      </w:r>
    </w:p>
    <w:p w:rsidR="00551AEB" w:rsidRPr="00BA321C" w:rsidRDefault="00551AEB" w:rsidP="00BA321C">
      <w:pPr>
        <w:pStyle w:val="aff0"/>
        <w:shd w:val="clear" w:color="auto" w:fill="FFFFFF" w:themeFill="background1"/>
        <w:jc w:val="center"/>
        <w:rPr>
          <w:rFonts w:ascii="Times New Roman" w:hAnsi="Times New Roman"/>
          <w:b/>
          <w:color w:val="auto"/>
          <w:sz w:val="28"/>
          <w:szCs w:val="28"/>
        </w:rPr>
      </w:pPr>
      <w:r w:rsidRPr="00BA321C">
        <w:rPr>
          <w:rFonts w:ascii="Times New Roman" w:hAnsi="Times New Roman"/>
          <w:b/>
          <w:color w:val="auto"/>
          <w:sz w:val="28"/>
          <w:szCs w:val="28"/>
        </w:rPr>
        <w:lastRenderedPageBreak/>
        <w:t>Оглавление</w:t>
      </w:r>
    </w:p>
    <w:p w:rsidR="000E1EFA" w:rsidRPr="00BA321C" w:rsidRDefault="00551AEB"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r w:rsidRPr="00BA321C">
        <w:rPr>
          <w:rFonts w:cs="Times New Roman"/>
        </w:rPr>
        <w:fldChar w:fldCharType="begin"/>
      </w:r>
      <w:r w:rsidRPr="00BA321C">
        <w:rPr>
          <w:rFonts w:cs="Times New Roman"/>
        </w:rPr>
        <w:instrText xml:space="preserve"> TOC \o "1-3" \h \z \u </w:instrText>
      </w:r>
      <w:r w:rsidRPr="00BA321C">
        <w:rPr>
          <w:rFonts w:cs="Times New Roman"/>
        </w:rPr>
        <w:fldChar w:fldCharType="separate"/>
      </w:r>
      <w:hyperlink w:anchor="_Toc451869585" w:history="1">
        <w:r w:rsidR="000E1EFA" w:rsidRPr="00BA321C">
          <w:rPr>
            <w:rStyle w:val="a6"/>
            <w:noProof/>
            <w:color w:val="auto"/>
            <w:sz w:val="28"/>
            <w:szCs w:val="28"/>
          </w:rPr>
          <w:t>Введение</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_Toc451869585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4</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86" w:history="1">
        <w:r w:rsidR="000E1EFA" w:rsidRPr="00BA321C">
          <w:rPr>
            <w:rStyle w:val="a6"/>
            <w:noProof/>
            <w:color w:val="auto"/>
            <w:sz w:val="28"/>
            <w:szCs w:val="28"/>
          </w:rPr>
          <w:t>ГЛАВА 1 ТЕОРЕТИЧЕСКИЕ ОСНОВЫ ОРГАНИЗАЦИОННО-ЭКОНОМИЧЕСКОГО РЕГУЛИРОВАНИЯ И РАЗВИТИЯ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_Toc451869586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14</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87" w:history="1">
        <w:r w:rsidR="000E1EFA" w:rsidRPr="00BA321C">
          <w:rPr>
            <w:rStyle w:val="a6"/>
            <w:noProof/>
            <w:color w:val="auto"/>
            <w:sz w:val="28"/>
            <w:szCs w:val="28"/>
          </w:rPr>
          <w:t>1.1 Содержание основных понятий, дефиниций, эволюция взглядов на развитие и размещение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_Toc451869587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14</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88" w:history="1">
        <w:r w:rsidR="000E1EFA" w:rsidRPr="00BA321C">
          <w:rPr>
            <w:rStyle w:val="a6"/>
            <w:noProof/>
            <w:color w:val="auto"/>
            <w:sz w:val="28"/>
            <w:szCs w:val="28"/>
          </w:rPr>
          <w:t>1.2 Методы управления организационно-экономическим развитием производительных сил в региональной экономике</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_Toc451869588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25</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89" w:history="1">
        <w:r w:rsidR="000E1EFA" w:rsidRPr="00BA321C">
          <w:rPr>
            <w:rStyle w:val="a6"/>
            <w:noProof/>
            <w:color w:val="auto"/>
            <w:sz w:val="28"/>
            <w:szCs w:val="28"/>
          </w:rPr>
          <w:t>1.3 Методы оценки эффективности организационно-экономического развития и размещения производительных сил в регионе</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_Toc451869589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41</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0" w:history="1">
        <w:r w:rsidR="000E1EFA" w:rsidRPr="00BA321C">
          <w:rPr>
            <w:rStyle w:val="a6"/>
            <w:noProof/>
            <w:color w:val="auto"/>
            <w:sz w:val="28"/>
            <w:szCs w:val="28"/>
          </w:rPr>
          <w:t>ГЛАВА 2 РАЗРАБОТКА И АПРОБАЦИЯ МЕТОДИЧЕСКИХ ПОДХОДОВ К ОРГАНИЗАЦИОННО-ЭКОНОМИЧЕСКОМУ РАЗВИТИЮ РЕГИОНАЛЬНЫХ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_Toc451869590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50</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1" w:history="1">
        <w:r w:rsidR="000E1EFA" w:rsidRPr="00BA321C">
          <w:rPr>
            <w:rStyle w:val="a6"/>
            <w:noProof/>
            <w:color w:val="auto"/>
            <w:sz w:val="28"/>
            <w:szCs w:val="28"/>
          </w:rPr>
          <w:t>2.1 Диагностика социально-экономической привлекательности регионов, как инструмент организационно-экономического развития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_Toc451869591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50</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2" w:history="1">
        <w:r w:rsidR="000E1EFA" w:rsidRPr="00BA321C">
          <w:rPr>
            <w:rStyle w:val="a6"/>
            <w:noProof/>
            <w:color w:val="auto"/>
            <w:sz w:val="28"/>
            <w:szCs w:val="28"/>
          </w:rPr>
          <w:t>2.2 Региональная социально-экономическая привлекательность развития и размещения производительных сил: методические подходы к измерению и оценке (на примере регионов Приволжского федерального округа)</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_Toc451869592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66</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3" w:history="1">
        <w:r w:rsidR="000E1EFA" w:rsidRPr="00BA321C">
          <w:rPr>
            <w:rStyle w:val="a6"/>
            <w:noProof/>
            <w:color w:val="auto"/>
            <w:sz w:val="28"/>
            <w:szCs w:val="28"/>
          </w:rPr>
          <w:t>2.3 Территориально-демографический «каркас» промышленно-индустриального развития производительных сил ПФО</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_Toc451869593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88</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4" w:history="1">
        <w:r w:rsidR="000E1EFA" w:rsidRPr="00BA321C">
          <w:rPr>
            <w:rStyle w:val="a6"/>
            <w:noProof/>
            <w:color w:val="auto"/>
            <w:sz w:val="28"/>
            <w:szCs w:val="28"/>
          </w:rPr>
          <w:t>ГЛАВА 3 КОНЦЕПЦИЯ РАЗРАБОТКИ И ОБОСНОВАНИЯ РЕГИОНАЛЬНЫХ СТРАТЕГИЙ РАЗВИТИЯ И РАЗМЕЩЕНИЯ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_Toc451869594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108</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5" w:history="1">
        <w:r w:rsidR="000E1EFA" w:rsidRPr="00BA321C">
          <w:rPr>
            <w:rStyle w:val="a6"/>
            <w:noProof/>
            <w:color w:val="auto"/>
            <w:sz w:val="28"/>
            <w:szCs w:val="28"/>
          </w:rPr>
          <w:t>3.1 Прогно</w:t>
        </w:r>
        <w:r w:rsidR="000E1EFA" w:rsidRPr="00BA321C">
          <w:rPr>
            <w:rStyle w:val="a6"/>
            <w:noProof/>
            <w:color w:val="auto"/>
            <w:sz w:val="28"/>
            <w:szCs w:val="28"/>
          </w:rPr>
          <w:t>с</w:t>
        </w:r>
        <w:r w:rsidR="000E1EFA" w:rsidRPr="00BA321C">
          <w:rPr>
            <w:rStyle w:val="a6"/>
            <w:noProof/>
            <w:color w:val="auto"/>
            <w:sz w:val="28"/>
            <w:szCs w:val="28"/>
          </w:rPr>
          <w:t>тические модели влияния институциональных и конъюнктурных региональных потенциалов на эффективность развития производительных сил</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_Toc451869595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108</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6" w:history="1">
        <w:r w:rsidR="000E1EFA" w:rsidRPr="00BA321C">
          <w:rPr>
            <w:rStyle w:val="a6"/>
            <w:noProof/>
            <w:color w:val="auto"/>
            <w:sz w:val="28"/>
            <w:szCs w:val="28"/>
          </w:rPr>
          <w:t>3.2 Организационно-экономические механизмы стратегического развития региональных производительных сил ПФО на основе многомерного факторного анализа</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_Toc451869596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115</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7" w:history="1">
        <w:r w:rsidR="000E1EFA" w:rsidRPr="00BA321C">
          <w:rPr>
            <w:rStyle w:val="a6"/>
            <w:noProof/>
            <w:color w:val="auto"/>
            <w:sz w:val="28"/>
            <w:szCs w:val="28"/>
          </w:rPr>
          <w:t>Заключение</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_Toc451869597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130</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8" w:history="1">
        <w:r w:rsidR="000E1EFA" w:rsidRPr="00BA321C">
          <w:rPr>
            <w:rStyle w:val="a6"/>
            <w:noProof/>
            <w:color w:val="auto"/>
            <w:sz w:val="28"/>
            <w:szCs w:val="28"/>
          </w:rPr>
          <w:t>Список исполь</w:t>
        </w:r>
        <w:r w:rsidR="000E1EFA" w:rsidRPr="00BA321C">
          <w:rPr>
            <w:rStyle w:val="a6"/>
            <w:noProof/>
            <w:color w:val="auto"/>
            <w:sz w:val="28"/>
            <w:szCs w:val="28"/>
          </w:rPr>
          <w:t>з</w:t>
        </w:r>
        <w:r w:rsidR="000E1EFA" w:rsidRPr="00BA321C">
          <w:rPr>
            <w:rStyle w:val="a6"/>
            <w:noProof/>
            <w:color w:val="auto"/>
            <w:sz w:val="28"/>
            <w:szCs w:val="28"/>
          </w:rPr>
          <w:t>ованной литературы</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_Toc451869598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138</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599" w:history="1">
        <w:r w:rsidR="000E1EFA" w:rsidRPr="00BA321C">
          <w:rPr>
            <w:rStyle w:val="a6"/>
            <w:noProof/>
            <w:color w:val="auto"/>
            <w:sz w:val="28"/>
            <w:szCs w:val="28"/>
          </w:rPr>
          <w:t>Приложение 1</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_Toc451869599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147</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600" w:history="1">
        <w:r w:rsidR="000E1EFA" w:rsidRPr="00BA321C">
          <w:rPr>
            <w:rStyle w:val="a6"/>
            <w:noProof/>
            <w:color w:val="auto"/>
            <w:sz w:val="28"/>
            <w:szCs w:val="28"/>
          </w:rPr>
          <w:t>Приложение 2</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_Toc451869600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149</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601" w:history="1">
        <w:r w:rsidR="000E1EFA" w:rsidRPr="00BA321C">
          <w:rPr>
            <w:rStyle w:val="a6"/>
            <w:noProof/>
            <w:color w:val="auto"/>
            <w:sz w:val="28"/>
            <w:szCs w:val="28"/>
          </w:rPr>
          <w:t>Приложение 3</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_Toc451869601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151</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sz w:val="28"/>
          <w:szCs w:val="28"/>
          <w:lang w:eastAsia="ru-RU"/>
        </w:rPr>
      </w:pPr>
      <w:hyperlink w:anchor="_Toc451869602" w:history="1">
        <w:r w:rsidR="000E1EFA" w:rsidRPr="00BA321C">
          <w:rPr>
            <w:rStyle w:val="a6"/>
            <w:noProof/>
            <w:color w:val="auto"/>
            <w:sz w:val="28"/>
            <w:szCs w:val="28"/>
          </w:rPr>
          <w:t>Приложение 4</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_Toc451869602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153</w:t>
        </w:r>
        <w:r w:rsidR="000E1EFA" w:rsidRPr="00BA321C">
          <w:rPr>
            <w:noProof/>
            <w:webHidden/>
            <w:sz w:val="28"/>
            <w:szCs w:val="28"/>
          </w:rPr>
          <w:fldChar w:fldCharType="end"/>
        </w:r>
      </w:hyperlink>
    </w:p>
    <w:p w:rsidR="000E1EFA" w:rsidRPr="00BA321C" w:rsidRDefault="005A0B95" w:rsidP="00BA321C">
      <w:pPr>
        <w:pStyle w:val="31"/>
        <w:shd w:val="clear" w:color="auto" w:fill="FFFFFF" w:themeFill="background1"/>
        <w:ind w:firstLine="0"/>
        <w:rPr>
          <w:rFonts w:asciiTheme="minorHAnsi" w:eastAsiaTheme="minorEastAsia" w:hAnsiTheme="minorHAnsi" w:cstheme="minorBidi"/>
          <w:noProof/>
          <w:lang w:eastAsia="ru-RU"/>
        </w:rPr>
      </w:pPr>
      <w:hyperlink w:anchor="_Toc451869603" w:history="1">
        <w:r w:rsidR="000E1EFA" w:rsidRPr="00BA321C">
          <w:rPr>
            <w:rStyle w:val="a6"/>
            <w:noProof/>
            <w:color w:val="auto"/>
            <w:sz w:val="28"/>
            <w:szCs w:val="28"/>
          </w:rPr>
          <w:t>Приложение 5</w:t>
        </w:r>
        <w:r w:rsidR="000E1EFA" w:rsidRPr="00BA321C">
          <w:rPr>
            <w:noProof/>
            <w:webHidden/>
            <w:sz w:val="28"/>
            <w:szCs w:val="28"/>
          </w:rPr>
          <w:tab/>
        </w:r>
        <w:r w:rsidR="000E1EFA" w:rsidRPr="00BA321C">
          <w:rPr>
            <w:noProof/>
            <w:webHidden/>
            <w:sz w:val="28"/>
            <w:szCs w:val="28"/>
          </w:rPr>
          <w:fldChar w:fldCharType="begin"/>
        </w:r>
        <w:r w:rsidR="000E1EFA" w:rsidRPr="00BA321C">
          <w:rPr>
            <w:noProof/>
            <w:webHidden/>
            <w:sz w:val="28"/>
            <w:szCs w:val="28"/>
          </w:rPr>
          <w:instrText xml:space="preserve"> PAGEREF _Toc451869603 \h </w:instrText>
        </w:r>
        <w:r w:rsidR="000E1EFA" w:rsidRPr="00BA321C">
          <w:rPr>
            <w:noProof/>
            <w:webHidden/>
            <w:sz w:val="28"/>
            <w:szCs w:val="28"/>
          </w:rPr>
        </w:r>
        <w:r w:rsidR="000E1EFA" w:rsidRPr="00BA321C">
          <w:rPr>
            <w:noProof/>
            <w:webHidden/>
            <w:sz w:val="28"/>
            <w:szCs w:val="28"/>
          </w:rPr>
          <w:fldChar w:fldCharType="separate"/>
        </w:r>
        <w:r w:rsidR="00C35E98">
          <w:rPr>
            <w:noProof/>
            <w:webHidden/>
            <w:sz w:val="28"/>
            <w:szCs w:val="28"/>
          </w:rPr>
          <w:t>157</w:t>
        </w:r>
        <w:r w:rsidR="000E1EFA" w:rsidRPr="00BA321C">
          <w:rPr>
            <w:noProof/>
            <w:webHidden/>
            <w:sz w:val="28"/>
            <w:szCs w:val="28"/>
          </w:rPr>
          <w:fldChar w:fldCharType="end"/>
        </w:r>
      </w:hyperlink>
    </w:p>
    <w:p w:rsidR="00551AEB" w:rsidRPr="00BA321C" w:rsidRDefault="00551AEB"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b/>
          <w:bCs/>
          <w:sz w:val="28"/>
          <w:szCs w:val="28"/>
        </w:rPr>
        <w:fldChar w:fldCharType="end"/>
      </w:r>
    </w:p>
    <w:p w:rsidR="00551AEB" w:rsidRPr="00BA321C" w:rsidRDefault="00551AEB" w:rsidP="00BA321C">
      <w:pPr>
        <w:shd w:val="clear" w:color="auto" w:fill="FFFFFF" w:themeFill="background1"/>
        <w:spacing w:after="0" w:line="360" w:lineRule="auto"/>
        <w:jc w:val="center"/>
        <w:rPr>
          <w:rFonts w:ascii="Times New Roman" w:hAnsi="Times New Roman"/>
          <w:b/>
          <w:sz w:val="28"/>
          <w:szCs w:val="28"/>
        </w:rPr>
      </w:pPr>
    </w:p>
    <w:p w:rsidR="00551AEB" w:rsidRPr="00BA321C" w:rsidRDefault="00551AEB" w:rsidP="00BA321C">
      <w:pPr>
        <w:shd w:val="clear" w:color="auto" w:fill="FFFFFF" w:themeFill="background1"/>
        <w:spacing w:after="0" w:line="360" w:lineRule="auto"/>
        <w:jc w:val="center"/>
        <w:rPr>
          <w:rFonts w:ascii="Times New Roman" w:hAnsi="Times New Roman"/>
          <w:b/>
          <w:sz w:val="28"/>
          <w:szCs w:val="28"/>
        </w:rPr>
      </w:pPr>
    </w:p>
    <w:p w:rsidR="00551AEB" w:rsidRPr="00BA321C" w:rsidRDefault="00551AEB" w:rsidP="00BA321C">
      <w:pPr>
        <w:shd w:val="clear" w:color="auto" w:fill="FFFFFF" w:themeFill="background1"/>
        <w:spacing w:after="0" w:line="360" w:lineRule="auto"/>
        <w:jc w:val="center"/>
        <w:rPr>
          <w:rFonts w:ascii="Times New Roman" w:hAnsi="Times New Roman"/>
          <w:b/>
          <w:sz w:val="28"/>
          <w:szCs w:val="28"/>
        </w:rPr>
      </w:pPr>
    </w:p>
    <w:p w:rsidR="00597FA7" w:rsidRPr="00BA321C" w:rsidRDefault="00597FA7" w:rsidP="00BA321C">
      <w:pPr>
        <w:shd w:val="clear" w:color="auto" w:fill="FFFFFF" w:themeFill="background1"/>
        <w:spacing w:after="0" w:line="360" w:lineRule="auto"/>
        <w:jc w:val="center"/>
        <w:rPr>
          <w:rFonts w:ascii="Times New Roman" w:hAnsi="Times New Roman"/>
          <w:b/>
          <w:sz w:val="28"/>
          <w:szCs w:val="28"/>
        </w:rPr>
      </w:pPr>
    </w:p>
    <w:p w:rsidR="00597FA7" w:rsidRPr="00BA321C" w:rsidRDefault="00597FA7"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E83863" w:rsidRPr="00BA321C" w:rsidRDefault="00E83863" w:rsidP="00BA321C">
      <w:pPr>
        <w:shd w:val="clear" w:color="auto" w:fill="FFFFFF" w:themeFill="background1"/>
        <w:spacing w:after="0" w:line="360" w:lineRule="auto"/>
        <w:jc w:val="center"/>
        <w:rPr>
          <w:rFonts w:ascii="Times New Roman" w:hAnsi="Times New Roman"/>
          <w:b/>
          <w:sz w:val="28"/>
          <w:szCs w:val="28"/>
        </w:rPr>
      </w:pPr>
    </w:p>
    <w:p w:rsidR="000E1EFA" w:rsidRPr="00BA321C" w:rsidRDefault="000E1EFA" w:rsidP="00BA321C">
      <w:pPr>
        <w:shd w:val="clear" w:color="auto" w:fill="FFFFFF" w:themeFill="background1"/>
        <w:spacing w:after="0" w:line="360" w:lineRule="auto"/>
        <w:jc w:val="center"/>
        <w:rPr>
          <w:rFonts w:ascii="Times New Roman" w:hAnsi="Times New Roman"/>
          <w:b/>
          <w:sz w:val="28"/>
          <w:szCs w:val="28"/>
        </w:rPr>
      </w:pPr>
    </w:p>
    <w:p w:rsidR="004642CA" w:rsidRPr="00BA321C" w:rsidRDefault="004642CA" w:rsidP="00C35E98">
      <w:pPr>
        <w:pStyle w:val="3"/>
        <w:jc w:val="center"/>
      </w:pPr>
      <w:bookmarkStart w:id="0" w:name="_Toc451869585"/>
      <w:r w:rsidRPr="00BA321C">
        <w:lastRenderedPageBreak/>
        <w:t>Введение</w:t>
      </w:r>
      <w:bookmarkEnd w:id="0"/>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b/>
          <w:bCs/>
          <w:sz w:val="28"/>
          <w:szCs w:val="28"/>
        </w:rPr>
        <w:t xml:space="preserve">Актуальность диссертационного исследования. </w:t>
      </w:r>
      <w:r w:rsidRPr="00BA321C">
        <w:rPr>
          <w:rFonts w:ascii="Times New Roman" w:hAnsi="Times New Roman"/>
          <w:sz w:val="28"/>
          <w:szCs w:val="28"/>
        </w:rPr>
        <w:t>Управление организационно-экономическим развитием региональных систем являлось и является одним из главных дискуссионных вопросов в экономической теории. Экономическое развитие регионов определяется и вместе с тем формируется системой факторов, характеризующих их конкурентоспособность и привлекательность с точки зрения размещения и развития производительных сил. К ним можно отнести, в первую очередь, демографический потенциал и тренды его обуславливающие, инфраструктурные возможности территории, энергетический потенциал, социокультурные параметры развития регионов и т.п.</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связи с этим изучение вопросов, раскрывающих особенности влияния совокупности факторов на процессы эффективности управления организационно-экономическим развитием производительных сил региона носит комплексный характер. Его исследование не должно ограничиваться сугубо количественными характеристиками измерения роста производства. Так, к примеру, П. Самуэльсон в своих трудах утверждал «нельзя стремится лишь к простому количественному росту производства (пусть даже в расчете на душу населения). Необходимо также внутреннее развитие всей социально-экономической структуры общества». Данное утверждение, на наш взгляд, является абсолютно справедливым. Особую актуальность ему придает то, что ориентация экономических взглядов на только лишь количественный рост может нести в себе целый ряд угроз, порождающих известные и крайне актуальные для сегодняшнего времени риски: экологические, социальные, сырьевые и др. Таким образом, в основе изучения форм, методов и инструментов управления организационно-экономическим развитием производительных сил региона должны выступать принципы всеобъемлемости, системности, комплексности. Именно они позволяют осуществлять всестороннюю оценку социально-экономической эффективности размещения производительных сил с учетом факторов </w:t>
      </w:r>
      <w:r w:rsidRPr="00BA321C">
        <w:rPr>
          <w:rFonts w:ascii="Times New Roman" w:hAnsi="Times New Roman"/>
          <w:sz w:val="28"/>
          <w:szCs w:val="28"/>
        </w:rPr>
        <w:lastRenderedPageBreak/>
        <w:t xml:space="preserve">минимизации социальных, энергетических, сырьевых и других глобальных рисков развития территориальных образований. </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Анализ теоретических исследований в сфере изучения вопросов развития и размещения региональных производительных сил демонстрирует отсутствие целостного представления в сфере организационно-экономических аспектов. Исследователями раскрываются либо отдельные аспекты экономического характера, раскрывающие основные принципы развития и размещения региональных производительных сил, либо аспекты пространственного изучения. Вместе с тем, на наш взгляд, вопросы изучения развития региональных производительных сил должны изучаться через призму комплексного и системного анализа набора всех факторов и элементов, формирующих возможности и перспективы их развития, включающих в себя помимо экономических и пространственных аспектов, аспекты организационного, социального, институционального характера. В этой связи существует необходимость уточнения и структурирования системы понятий и механизмов, раскрывающих региональные особенности организационно-экономического развития и размещения производительных сил. Это в конечном итоге, позволит дополнить существующую систему научных положений по управлению организационно-экономическими процессами на уровне регионов.</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Многоаспектность и сложность обозначенной проблемы, а также ее высокая значимость для повышения эффективности развития региональных экономических систем Российской Федерации определили актуальность темы диссертационного исследования с теоретической и практической позиций.</w:t>
      </w:r>
    </w:p>
    <w:p w:rsidR="00154C26" w:rsidRPr="00BA321C" w:rsidRDefault="00154C26" w:rsidP="00BA321C">
      <w:pPr>
        <w:shd w:val="clear" w:color="auto" w:fill="FFFFFF" w:themeFill="background1"/>
        <w:spacing w:after="0" w:line="360" w:lineRule="auto"/>
        <w:ind w:firstLine="709"/>
        <w:jc w:val="both"/>
        <w:rPr>
          <w:rFonts w:ascii="Times New Roman" w:hAnsi="Times New Roman"/>
          <w:b/>
          <w:bCs/>
          <w:sz w:val="28"/>
          <w:szCs w:val="28"/>
        </w:rPr>
      </w:pPr>
      <w:r w:rsidRPr="00BA321C">
        <w:rPr>
          <w:rFonts w:ascii="Times New Roman" w:hAnsi="Times New Roman"/>
          <w:b/>
          <w:bCs/>
          <w:sz w:val="28"/>
          <w:szCs w:val="28"/>
        </w:rPr>
        <w:t xml:space="preserve">Степень разработанности проблемы. </w:t>
      </w:r>
      <w:r w:rsidRPr="00BA321C">
        <w:rPr>
          <w:rFonts w:ascii="Times New Roman" w:hAnsi="Times New Roman"/>
          <w:bCs/>
          <w:sz w:val="28"/>
          <w:szCs w:val="28"/>
        </w:rPr>
        <w:t>Теоретические аспекты</w:t>
      </w:r>
      <w:r w:rsidRPr="00BA321C">
        <w:rPr>
          <w:rFonts w:ascii="Times New Roman" w:hAnsi="Times New Roman"/>
          <w:b/>
          <w:bCs/>
          <w:sz w:val="28"/>
          <w:szCs w:val="28"/>
        </w:rPr>
        <w:t xml:space="preserve"> </w:t>
      </w:r>
      <w:r w:rsidRPr="00BA321C">
        <w:rPr>
          <w:rFonts w:ascii="Times New Roman" w:hAnsi="Times New Roman"/>
          <w:sz w:val="28"/>
          <w:szCs w:val="28"/>
        </w:rPr>
        <w:t>о факторах, определяющих развитие и размещение производительных сил</w:t>
      </w:r>
      <w:r w:rsidRPr="00BA321C">
        <w:rPr>
          <w:rFonts w:ascii="Times New Roman" w:hAnsi="Times New Roman"/>
          <w:bCs/>
          <w:sz w:val="28"/>
          <w:szCs w:val="28"/>
        </w:rPr>
        <w:t xml:space="preserve"> анализируются в работах А. Смита, </w:t>
      </w:r>
      <w:r w:rsidRPr="00BA321C">
        <w:rPr>
          <w:rFonts w:ascii="Times New Roman" w:hAnsi="Times New Roman"/>
          <w:sz w:val="28"/>
          <w:szCs w:val="28"/>
        </w:rPr>
        <w:t xml:space="preserve">Жан-Батист Сэя, К. Маркса, Ф. Энгельса, А. Маршалла, Д. Б. Кларка, А. Г. Аганбегяна, М. Р. Сафиуллина, И. В. Давыдова, И. И. Рубина, С. В. Бессонова, Н. И. Бухарина, П. А. Богданова, О. </w:t>
      </w:r>
      <w:r w:rsidRPr="00BA321C">
        <w:rPr>
          <w:rFonts w:ascii="Times New Roman" w:hAnsi="Times New Roman"/>
          <w:sz w:val="28"/>
          <w:szCs w:val="28"/>
        </w:rPr>
        <w:lastRenderedPageBreak/>
        <w:t xml:space="preserve">В. Евсеева, А. Г. Гранберга, М. Р. Сафиуллина В. В. Кистанова, Н. Г. Багаутдиновой, Л. Н. Сафиуллина, Н. В. Копылова и </w:t>
      </w:r>
      <w:r w:rsidRPr="00BA321C">
        <w:rPr>
          <w:rFonts w:ascii="Times New Roman" w:hAnsi="Times New Roman"/>
          <w:bCs/>
          <w:sz w:val="28"/>
          <w:szCs w:val="28"/>
        </w:rPr>
        <w:t xml:space="preserve">других ученых. </w:t>
      </w:r>
    </w:p>
    <w:p w:rsidR="00154C26" w:rsidRPr="00BA321C" w:rsidRDefault="00154C26" w:rsidP="00BA321C">
      <w:pPr>
        <w:shd w:val="clear" w:color="auto" w:fill="FFFFFF" w:themeFill="background1"/>
        <w:spacing w:after="0" w:line="360" w:lineRule="auto"/>
        <w:ind w:firstLine="709"/>
        <w:jc w:val="both"/>
        <w:rPr>
          <w:rFonts w:ascii="Times New Roman" w:hAnsi="Times New Roman"/>
          <w:bCs/>
          <w:sz w:val="28"/>
          <w:szCs w:val="28"/>
        </w:rPr>
      </w:pPr>
      <w:r w:rsidRPr="00BA321C">
        <w:rPr>
          <w:rFonts w:ascii="Times New Roman" w:hAnsi="Times New Roman"/>
          <w:bCs/>
          <w:sz w:val="28"/>
          <w:szCs w:val="28"/>
        </w:rPr>
        <w:t xml:space="preserve">Вопросы теории и методологии управления организационно-экономическим развитием производительных сил в региональной экономике рассмотрены в исследованиях П. </w:t>
      </w:r>
      <w:r w:rsidRPr="00BA321C">
        <w:rPr>
          <w:rFonts w:ascii="Times New Roman" w:hAnsi="Times New Roman"/>
          <w:sz w:val="28"/>
          <w:szCs w:val="28"/>
        </w:rPr>
        <w:t>Самуэльсона, Д. Бортса, Р. Солоу, Х.Зиберта, Г.Мэнкью, Р.Барро, Ч.Джонса и Р.Холла, А. Леша, Г. Мюрдаля, Х. Ричардсона, Ж.-Р. Будвиля, П. Потье, А. Хришмана, Дж. Фридмана, Х. Гирша, Х. Р. Ласуэна, B.C. Немчинова, КН. Баранского, А.Е. Пробста, НН Некрасова, Я.Г. Фейгина, Р.И. Шнипера</w:t>
      </w:r>
      <w:r w:rsidRPr="00BA321C">
        <w:rPr>
          <w:rFonts w:ascii="Times New Roman" w:hAnsi="Times New Roman"/>
          <w:bCs/>
          <w:sz w:val="28"/>
          <w:szCs w:val="28"/>
        </w:rPr>
        <w:t xml:space="preserve"> и др. </w:t>
      </w:r>
    </w:p>
    <w:p w:rsidR="00154C26" w:rsidRPr="00BA321C" w:rsidRDefault="00154C26" w:rsidP="00BA321C">
      <w:pPr>
        <w:shd w:val="clear" w:color="auto" w:fill="FFFFFF" w:themeFill="background1"/>
        <w:spacing w:after="0" w:line="360" w:lineRule="auto"/>
        <w:ind w:firstLine="709"/>
        <w:jc w:val="both"/>
        <w:rPr>
          <w:rFonts w:ascii="Times New Roman" w:hAnsi="Times New Roman"/>
          <w:bCs/>
          <w:sz w:val="28"/>
          <w:szCs w:val="28"/>
        </w:rPr>
      </w:pPr>
      <w:r w:rsidRPr="00BA321C">
        <w:rPr>
          <w:rFonts w:ascii="Times New Roman" w:hAnsi="Times New Roman"/>
          <w:bCs/>
          <w:sz w:val="28"/>
          <w:szCs w:val="28"/>
        </w:rPr>
        <w:t xml:space="preserve">Методы оценки эффективности организационно-экономического развития и размещения производительных сил в регионе рассмотрены в исследованиях </w:t>
      </w:r>
      <w:r w:rsidRPr="00BA321C">
        <w:rPr>
          <w:rFonts w:ascii="Times New Roman" w:hAnsi="Times New Roman"/>
          <w:sz w:val="28"/>
          <w:szCs w:val="28"/>
        </w:rPr>
        <w:t xml:space="preserve">И.В. Гришиной, А.О. Полыневой, Л. Н. Булгаковой, О.А. Биякова, О.В. Глушаковой, Я. А. Вайсберга, А. А. Картаузова, О. Б. Стрекалова </w:t>
      </w:r>
      <w:r w:rsidRPr="00BA321C">
        <w:rPr>
          <w:rFonts w:ascii="Times New Roman" w:hAnsi="Times New Roman"/>
          <w:bCs/>
          <w:sz w:val="28"/>
          <w:szCs w:val="28"/>
        </w:rPr>
        <w:t>и др.</w:t>
      </w:r>
    </w:p>
    <w:p w:rsidR="00154C26" w:rsidRPr="00BA321C" w:rsidRDefault="00154C26" w:rsidP="00BA321C">
      <w:pPr>
        <w:pStyle w:val="a4"/>
        <w:shd w:val="clear" w:color="auto" w:fill="FFFFFF" w:themeFill="background1"/>
        <w:spacing w:after="0" w:line="360" w:lineRule="auto"/>
        <w:ind w:left="0" w:firstLine="851"/>
        <w:jc w:val="both"/>
        <w:rPr>
          <w:rFonts w:ascii="Times New Roman" w:hAnsi="Times New Roman"/>
          <w:sz w:val="28"/>
          <w:szCs w:val="28"/>
        </w:rPr>
      </w:pPr>
      <w:r w:rsidRPr="00BA321C">
        <w:rPr>
          <w:rFonts w:ascii="Times New Roman" w:hAnsi="Times New Roman"/>
          <w:bCs/>
          <w:sz w:val="28"/>
          <w:szCs w:val="28"/>
        </w:rPr>
        <w:t xml:space="preserve">Вместе с тем, в научной литературе недостаточно полно освещены вопросы методологических </w:t>
      </w:r>
      <w:r w:rsidRPr="00BA321C">
        <w:rPr>
          <w:rFonts w:ascii="Times New Roman" w:hAnsi="Times New Roman"/>
          <w:sz w:val="28"/>
          <w:szCs w:val="28"/>
        </w:rPr>
        <w:t>подходов изучения и диагностики социально-экономического положения регионов с точки зрения перспектив и обоснования размещения в них производительных сил. В этих условиях крайне важным представляется разработка научно-методической базы отвечающей требованиям ее практической реализуемости, а также комплексностью и согласованностью ее принципов и подходов среди взглядов представителей экономической мысли различных научных школ и направлений.</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b/>
          <w:sz w:val="28"/>
          <w:szCs w:val="28"/>
        </w:rPr>
        <w:t>Цель и задачи исследования.</w:t>
      </w:r>
      <w:r w:rsidRPr="00BA321C">
        <w:rPr>
          <w:rFonts w:ascii="Times New Roman" w:hAnsi="Times New Roman"/>
          <w:sz w:val="28"/>
          <w:szCs w:val="28"/>
        </w:rPr>
        <w:t xml:space="preserve"> </w:t>
      </w:r>
      <w:r w:rsidRPr="00BA321C">
        <w:rPr>
          <w:rFonts w:ascii="Times New Roman" w:hAnsi="Times New Roman"/>
          <w:spacing w:val="-8"/>
          <w:sz w:val="28"/>
          <w:szCs w:val="28"/>
        </w:rPr>
        <w:t>Цель диссертационного исследования состоит в разработке теоретико-методологических и прикладных основ определения и обоснования перспектив развития и оптимального размещения региональных производительных сил с учетом оценки и анализа потенциалов развития региона.</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Достижение цели исследования предопределило постановку и решение следующих основных задач:</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lastRenderedPageBreak/>
        <w:t>1. Сформировать теоретико-методический подход к основам изучения форм, методов и инструментов управления организационно-экономическим развитием производительных сил региона.</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2. Обосновать модель экономической организации производительных сил регионов в современных условиях хозяйствования.</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3. Определить и уточнить механизмы организационно-экономического развития и размещения региональных производительных сил.</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4. Сформировать теоретико-методический подход к разработке и обоснованию системы показателей оценки эффективности развития и размещения производительных сил в регионах в соответствии с параметрами технологического уклада развития национальной экономики.</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5. Разработать концептуальные подходы к измерению и методике оценки интегрального показателя социально-экономической привлекательности регионов, как основополагающего инструмента определения специализации размещения региональных производительных сил.</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6. Представить авторский подход структурно-динамического анализа факторов, влияющих на территориальную организацию производительных сил.</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7. Определить пространственно-демографический «каркас» индустриально-промышленного развития производительных сил регионов ПФО.</w:t>
      </w:r>
    </w:p>
    <w:p w:rsidR="00154C26" w:rsidRPr="00BA321C" w:rsidRDefault="00154C26"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8. Разработать стратегии развития производительных сил в ПФО с учетом прогностических тенденций изменения параметров и факторов социально-экономической привлекательности регионов.</w:t>
      </w:r>
    </w:p>
    <w:p w:rsidR="00154C26" w:rsidRPr="00BA321C" w:rsidRDefault="00154C26" w:rsidP="00BA321C">
      <w:pPr>
        <w:shd w:val="clear" w:color="auto" w:fill="FFFFFF" w:themeFill="background1"/>
        <w:spacing w:after="0" w:line="360" w:lineRule="auto"/>
        <w:ind w:firstLine="709"/>
        <w:jc w:val="both"/>
        <w:rPr>
          <w:rFonts w:ascii="Times New Roman" w:hAnsi="Times New Roman"/>
          <w:bCs/>
          <w:sz w:val="28"/>
          <w:szCs w:val="28"/>
        </w:rPr>
      </w:pPr>
      <w:r w:rsidRPr="00BA321C">
        <w:rPr>
          <w:rFonts w:ascii="Times New Roman" w:hAnsi="Times New Roman"/>
          <w:b/>
          <w:bCs/>
          <w:sz w:val="28"/>
          <w:szCs w:val="28"/>
        </w:rPr>
        <w:t>Объектом</w:t>
      </w:r>
      <w:r w:rsidRPr="00BA321C">
        <w:rPr>
          <w:rFonts w:ascii="Times New Roman" w:hAnsi="Times New Roman"/>
          <w:bCs/>
          <w:sz w:val="28"/>
          <w:szCs w:val="28"/>
        </w:rPr>
        <w:t xml:space="preserve"> диссертационного исследования выступают региональные производительные силы. </w:t>
      </w:r>
    </w:p>
    <w:p w:rsidR="00154C26" w:rsidRPr="00BA321C" w:rsidRDefault="00154C26" w:rsidP="00BA321C">
      <w:pPr>
        <w:shd w:val="clear" w:color="auto" w:fill="FFFFFF" w:themeFill="background1"/>
        <w:spacing w:after="0" w:line="360" w:lineRule="auto"/>
        <w:ind w:firstLine="709"/>
        <w:jc w:val="both"/>
        <w:rPr>
          <w:rFonts w:ascii="Times New Roman" w:hAnsi="Times New Roman"/>
          <w:bCs/>
          <w:sz w:val="28"/>
          <w:szCs w:val="28"/>
        </w:rPr>
      </w:pPr>
      <w:r w:rsidRPr="00BA321C">
        <w:rPr>
          <w:rFonts w:ascii="Times New Roman" w:hAnsi="Times New Roman"/>
          <w:b/>
          <w:bCs/>
          <w:sz w:val="28"/>
          <w:szCs w:val="28"/>
        </w:rPr>
        <w:t>Предметом</w:t>
      </w:r>
      <w:r w:rsidRPr="00BA321C">
        <w:rPr>
          <w:rFonts w:ascii="Times New Roman" w:hAnsi="Times New Roman"/>
          <w:bCs/>
          <w:sz w:val="28"/>
          <w:szCs w:val="28"/>
        </w:rPr>
        <w:t xml:space="preserve"> исследования являются методические аспекты </w:t>
      </w:r>
      <w:r w:rsidRPr="00BA321C">
        <w:rPr>
          <w:rFonts w:ascii="Times New Roman" w:hAnsi="Times New Roman"/>
          <w:sz w:val="28"/>
          <w:szCs w:val="28"/>
        </w:rPr>
        <w:t>организационно-экономического развития и размещения производительных сил в регионах.</w:t>
      </w:r>
    </w:p>
    <w:p w:rsidR="001050B4" w:rsidRPr="00BA321C" w:rsidRDefault="001050B4"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b/>
          <w:bCs/>
          <w:spacing w:val="-8"/>
          <w:sz w:val="28"/>
          <w:szCs w:val="28"/>
        </w:rPr>
        <w:t>Теоретическую и методологическую основу</w:t>
      </w:r>
      <w:r w:rsidRPr="00BA321C">
        <w:rPr>
          <w:rFonts w:ascii="Times New Roman" w:hAnsi="Times New Roman"/>
          <w:spacing w:val="-8"/>
          <w:sz w:val="28"/>
          <w:szCs w:val="28"/>
        </w:rPr>
        <w:t xml:space="preserve"> диссертационного исследования составили научные труды российских и отечественных ученых, посвященные вопросам развития и размещения производительных сил, а также </w:t>
      </w:r>
      <w:r w:rsidRPr="00BA321C">
        <w:rPr>
          <w:rFonts w:ascii="Times New Roman" w:hAnsi="Times New Roman"/>
          <w:spacing w:val="-8"/>
          <w:sz w:val="28"/>
          <w:szCs w:val="28"/>
        </w:rPr>
        <w:lastRenderedPageBreak/>
        <w:t>раскрывающие методологические основы изучения факторов, влияющих на их эффективное развитие в системе региональной экономики, нормативно правовые акты, регулирующие государственную политику стратегического развития и позиционирования регионов, в том числе учитывающие региональные особенности специализации в области развития производительных сил.</w:t>
      </w:r>
    </w:p>
    <w:p w:rsidR="001050B4" w:rsidRPr="00BA321C" w:rsidRDefault="001050B4" w:rsidP="00BA321C">
      <w:pPr>
        <w:shd w:val="clear" w:color="auto" w:fill="FFFFFF" w:themeFill="background1"/>
        <w:spacing w:after="0" w:line="360" w:lineRule="auto"/>
        <w:ind w:firstLine="709"/>
        <w:jc w:val="both"/>
        <w:rPr>
          <w:rFonts w:ascii="Times New Roman" w:hAnsi="Times New Roman"/>
          <w:spacing w:val="-8"/>
          <w:sz w:val="28"/>
          <w:szCs w:val="28"/>
        </w:rPr>
      </w:pPr>
      <w:r w:rsidRPr="00BA321C">
        <w:rPr>
          <w:rFonts w:ascii="Times New Roman" w:hAnsi="Times New Roman"/>
          <w:spacing w:val="-8"/>
          <w:sz w:val="28"/>
          <w:szCs w:val="28"/>
        </w:rPr>
        <w:t>В ходе выполнения научного исследования использовались методы экономико-математического моделирования, включающие в себя, в частности, модели таксономического анализа, дескриптивные подходы к статистическому анализу данных, инструменты кластерного анализа, а также инструменты балльно-рейтинговых оценок. Обнаруженные в ходе исследований результаты, характеризующие тренды и тенденции развития эффективности развития региональных производительных сил, получили отображение в виде графической и табличной иллюстрации.</w:t>
      </w:r>
    </w:p>
    <w:p w:rsidR="001050B4" w:rsidRPr="00BA321C" w:rsidRDefault="001050B4" w:rsidP="00BA321C">
      <w:pPr>
        <w:pStyle w:val="a4"/>
        <w:shd w:val="clear" w:color="auto" w:fill="FFFFFF" w:themeFill="background1"/>
        <w:spacing w:after="0" w:line="360" w:lineRule="auto"/>
        <w:ind w:left="0" w:firstLine="851"/>
        <w:jc w:val="both"/>
        <w:rPr>
          <w:rFonts w:ascii="Times New Roman" w:hAnsi="Times New Roman"/>
          <w:spacing w:val="-6"/>
          <w:sz w:val="28"/>
          <w:szCs w:val="28"/>
        </w:rPr>
      </w:pPr>
      <w:r w:rsidRPr="00BA321C">
        <w:rPr>
          <w:rFonts w:ascii="Times New Roman" w:hAnsi="Times New Roman"/>
          <w:b/>
          <w:bCs/>
          <w:spacing w:val="-6"/>
          <w:sz w:val="28"/>
          <w:szCs w:val="28"/>
        </w:rPr>
        <w:t>Информационную основу</w:t>
      </w:r>
      <w:r w:rsidRPr="00BA321C">
        <w:rPr>
          <w:rFonts w:ascii="Times New Roman" w:hAnsi="Times New Roman"/>
          <w:spacing w:val="-6"/>
          <w:sz w:val="28"/>
          <w:szCs w:val="28"/>
        </w:rPr>
        <w:t xml:space="preserve"> диссертационного исследования составили официальные статистические данные, публикуемые Федеральной службой государственной статистики и ее региональными подразделениями по Приволжскому федеральному округу, программные мероприятия и отчеты Министерства экономического развития Российской Федерации, а также региональных министерств ПФО, курирующих и контролирующих механизмы социально-экономического развития территорий, нормативно-правовые акты, регламентирующие стратегическое развитие регионов, а также материалы периодической печати, включающие в себя, в том числе, Интернет-ресурсы.</w:t>
      </w:r>
    </w:p>
    <w:p w:rsidR="0023224F" w:rsidRPr="00BA321C" w:rsidRDefault="00154C26" w:rsidP="00BA321C">
      <w:pPr>
        <w:shd w:val="clear" w:color="auto" w:fill="FFFFFF" w:themeFill="background1"/>
        <w:spacing w:after="0" w:line="360" w:lineRule="auto"/>
        <w:ind w:firstLine="709"/>
        <w:jc w:val="both"/>
        <w:rPr>
          <w:rFonts w:ascii="Times New Roman" w:hAnsi="Times New Roman"/>
          <w:spacing w:val="-6"/>
          <w:sz w:val="28"/>
          <w:szCs w:val="28"/>
        </w:rPr>
      </w:pPr>
      <w:r w:rsidRPr="00BA321C">
        <w:rPr>
          <w:rFonts w:ascii="Times New Roman" w:hAnsi="Times New Roman"/>
          <w:b/>
          <w:bCs/>
          <w:sz w:val="28"/>
          <w:szCs w:val="28"/>
        </w:rPr>
        <w:t xml:space="preserve">Соответствие содержания диссертации научной специальности. </w:t>
      </w:r>
      <w:r w:rsidR="0023224F" w:rsidRPr="00BA321C">
        <w:rPr>
          <w:rFonts w:ascii="Times New Roman" w:hAnsi="Times New Roman"/>
          <w:spacing w:val="-6"/>
          <w:sz w:val="28"/>
          <w:szCs w:val="28"/>
        </w:rPr>
        <w:t xml:space="preserve">Диссертационная работа по своему содержанию в полной мере соответствует п. 3. Региональная экономика: 3.3. Пространственная организация национальной экономики; формирование, функционирование и модернизация экономических кластеров и других пространственно локализованных экономических систем; 3.17. Управление экономикой регионов. Формы и механизмы взаимодействия федеральной, региональной, муниципальной власти, бизнес- структур и структур гражданского общества. Функции и механизмы управления. Методическое </w:t>
      </w:r>
      <w:r w:rsidR="0023224F" w:rsidRPr="00BA321C">
        <w:rPr>
          <w:rFonts w:ascii="Times New Roman" w:hAnsi="Times New Roman"/>
          <w:spacing w:val="-6"/>
          <w:sz w:val="28"/>
          <w:szCs w:val="28"/>
        </w:rPr>
        <w:lastRenderedPageBreak/>
        <w:t xml:space="preserve">обоснование и разработка организационных схем и механизмов управления экономикой регионов; оценка их эффективности Паспорта ВАК России специальности </w:t>
      </w:r>
      <w:hyperlink r:id="rId8" w:history="1">
        <w:r w:rsidR="0023224F" w:rsidRPr="00BA321C">
          <w:rPr>
            <w:rFonts w:ascii="Times New Roman" w:hAnsi="Times New Roman"/>
            <w:spacing w:val="-6"/>
            <w:sz w:val="28"/>
            <w:szCs w:val="28"/>
          </w:rPr>
          <w:t>08.00.05</w:t>
        </w:r>
      </w:hyperlink>
      <w:r w:rsidR="0023224F" w:rsidRPr="00BA321C">
        <w:rPr>
          <w:rFonts w:ascii="Times New Roman" w:hAnsi="Times New Roman"/>
          <w:spacing w:val="-6"/>
          <w:sz w:val="28"/>
          <w:szCs w:val="28"/>
        </w:rPr>
        <w:t xml:space="preserve"> - Экономика и управление народным хозяйством.</w:t>
      </w:r>
    </w:p>
    <w:p w:rsidR="00154C26" w:rsidRPr="00BA321C" w:rsidRDefault="00C610E9"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b/>
          <w:sz w:val="28"/>
          <w:szCs w:val="28"/>
        </w:rPr>
        <w:t>Научная новизна результатов исследования</w:t>
      </w:r>
      <w:r w:rsidRPr="00BA321C">
        <w:rPr>
          <w:rFonts w:ascii="Times New Roman" w:hAnsi="Times New Roman"/>
          <w:sz w:val="28"/>
          <w:szCs w:val="28"/>
        </w:rPr>
        <w:t xml:space="preserve"> заключается в развитии существующих научных исследований и разработке методов, направленных на оценку социально-экономических параметров региона</w:t>
      </w:r>
      <w:r w:rsidR="00A82198" w:rsidRPr="00BA321C">
        <w:rPr>
          <w:rFonts w:ascii="Times New Roman" w:hAnsi="Times New Roman"/>
          <w:sz w:val="28"/>
          <w:szCs w:val="28"/>
        </w:rPr>
        <w:t>, а также</w:t>
      </w:r>
      <w:r w:rsidRPr="00BA321C">
        <w:rPr>
          <w:rFonts w:ascii="Times New Roman" w:hAnsi="Times New Roman"/>
          <w:sz w:val="28"/>
          <w:szCs w:val="28"/>
        </w:rPr>
        <w:t xml:space="preserve"> на организацию и специализацию размещения и перспективного развития производительных сил, что конкретизируется в следующих положениях</w:t>
      </w:r>
      <w:r w:rsidR="00154C26" w:rsidRPr="00BA321C">
        <w:rPr>
          <w:rFonts w:ascii="Times New Roman" w:hAnsi="Times New Roman"/>
          <w:sz w:val="28"/>
          <w:szCs w:val="28"/>
        </w:rPr>
        <w:t>:</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1. Представлен авторский подход, определяющий дифференциацию между понятиями «экономический рост» и «экономическое развитие» и дана концептуальная оценка их взаимосвязи, раскрывающая особенности типов макроэкономических генераций в зависимости от наблюдаемых параметров соотношения «экономический рост» - «экономическое развитие» (стр. 30-32).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2. Определено, что управление организационно-экономическим развитием производительных сил региона должно во многом опираться на показатели институционального порядка, учитывающие условия инновационно-модернизационных трансформаций экономических систем (стр. 34-44, 48-54, 63-72).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3. Определено содержание понятия «организационно-экономическое развитие и размещение региональных производительных сил» под которым понимается процесс организации системообразующих производительных элементов региональной хозяйственной системы в соответствии с имеющимися особенностями региональных потенциалов (экономического, социального и институционального) в целях достижения конкурентоспособного социально-экономического развития производительных элементов в условиях текущих и перспективных преобразований во внутренней и внешней среде (стр. 45-47).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4. Представлен и обоснован авторский методологический подход определения организационно-экономического развития региональных производительных сил на основе моделирования индекса социально-</w:t>
      </w:r>
      <w:r w:rsidRPr="00BA321C">
        <w:rPr>
          <w:rFonts w:ascii="Times New Roman" w:hAnsi="Times New Roman"/>
          <w:sz w:val="28"/>
          <w:szCs w:val="28"/>
        </w:rPr>
        <w:lastRenderedPageBreak/>
        <w:t xml:space="preserve">экономической привлекательности региона, включающего в себя оценку не только конъюнктурных , но институциональных, фундаментальных факторов, определяющих потенциал и перспективы регионального развития производительных элементов в соответствии с прогрессивными сдвигами технологических укладов в мировой экономике (стр. 78-86).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5 На основе рассчитанных для регионов ПФО значений весовых коэффициентов при субиндексах, характеризующих конъюнктурно-институциональный потенциал регионов, а также реализованного кластерного анализа, группирующего регионы по уровню влияния весовых коэффициентов на траекторию и динамику региональных индексов социально-экономической привлекательности, установлено три региональных кластера, дифференцированных по специфическими особенностями формирования индекса СЭП в разрезе ресурсно-инфраструктурного, социального и институционального потенциалов (стр. 88-91, 96-98).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6. Разработана система оценки демографического «каркаса» регионов Приволжского федерального округа, основанная на моделировании тенденций городского расселения и агломераций за период с 1897 по 2010гг. (стр. 98-122).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7. Разработаны концепция и модель прогнозирования ВРП в зависимости от формирующихся экономического, социального и институционального потенциалов регионов. На основе выявленных уникальных особенностей институционально-конъюнктурного потенциалов регионов ПФО определены перспективные направления организационно-экономического развития производительных сил</w:t>
      </w:r>
      <w:r w:rsidR="00C0167A" w:rsidRPr="00BA321C">
        <w:rPr>
          <w:rFonts w:ascii="Times New Roman" w:hAnsi="Times New Roman"/>
          <w:sz w:val="28"/>
          <w:szCs w:val="28"/>
        </w:rPr>
        <w:t xml:space="preserve"> (стр. 123-129)</w:t>
      </w:r>
      <w:r w:rsidRPr="00BA321C">
        <w:rPr>
          <w:rFonts w:ascii="Times New Roman" w:hAnsi="Times New Roman"/>
          <w:sz w:val="28"/>
          <w:szCs w:val="28"/>
        </w:rPr>
        <w:t>.</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b/>
          <w:bCs/>
          <w:sz w:val="28"/>
          <w:szCs w:val="28"/>
        </w:rPr>
        <w:t xml:space="preserve">Теоретическая и практическая значимость работы </w:t>
      </w:r>
      <w:r w:rsidRPr="00BA321C">
        <w:rPr>
          <w:rFonts w:ascii="Times New Roman" w:hAnsi="Times New Roman"/>
          <w:sz w:val="28"/>
          <w:szCs w:val="28"/>
        </w:rPr>
        <w:t xml:space="preserve">заключается в развитии теории региональной экономики на основе расширения теоретико-методологических подходов к оценке целесообразности и перспектив размещения и развития региональных производительных сил в зависимости от целостного научно-обоснованного набора факторов, обуславливающих организационно-экономическую привлекательность регионов. </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Практическая значимость состоит в возможности применения </w:t>
      </w:r>
      <w:r w:rsidRPr="00BA321C">
        <w:rPr>
          <w:rFonts w:ascii="Times New Roman" w:hAnsi="Times New Roman"/>
          <w:sz w:val="28"/>
          <w:szCs w:val="28"/>
        </w:rPr>
        <w:lastRenderedPageBreak/>
        <w:t>разработанных организационно-логических и экономико-математических моделей организационно-экономического обоснования развития производительных сил органами государственной власти, а также при выработке целевых программ развития.</w:t>
      </w:r>
    </w:p>
    <w:p w:rsidR="00154C26" w:rsidRPr="00BA321C" w:rsidRDefault="00154C26" w:rsidP="00BA321C">
      <w:pPr>
        <w:widowControl w:val="0"/>
        <w:shd w:val="clear" w:color="auto" w:fill="FFFFFF" w:themeFill="background1"/>
        <w:tabs>
          <w:tab w:val="left" w:pos="331"/>
        </w:tabs>
        <w:autoSpaceDE w:val="0"/>
        <w:autoSpaceDN w:val="0"/>
        <w:adjustRightInd w:val="0"/>
        <w:spacing w:after="0" w:line="360" w:lineRule="auto"/>
        <w:ind w:firstLine="709"/>
        <w:jc w:val="both"/>
        <w:rPr>
          <w:rFonts w:ascii="Times New Roman" w:hAnsi="Times New Roman"/>
          <w:sz w:val="28"/>
          <w:szCs w:val="28"/>
        </w:rPr>
      </w:pPr>
      <w:r w:rsidRPr="00BA321C">
        <w:rPr>
          <w:rFonts w:ascii="Times New Roman" w:hAnsi="Times New Roman"/>
          <w:sz w:val="28"/>
          <w:szCs w:val="28"/>
        </w:rPr>
        <w:t>Теоретическая значимость диссертационного исследования заключается в возможности применения полученных результатов в подготовке и выработке учебных программ, а также учебно-методического обеспечения по дисциплинам «Региональная экономика», «Институциональная экономика», «Экономико-математическое моделирование экономики», «Прогнозирование и планирование экономики».</w:t>
      </w:r>
    </w:p>
    <w:p w:rsidR="00154C26" w:rsidRPr="00BA321C" w:rsidRDefault="00154C26" w:rsidP="00BA321C">
      <w:pPr>
        <w:pStyle w:val="a4"/>
        <w:shd w:val="clear" w:color="auto" w:fill="FFFFFF" w:themeFill="background1"/>
        <w:spacing w:after="0" w:line="360" w:lineRule="auto"/>
        <w:ind w:left="0" w:firstLine="851"/>
        <w:jc w:val="both"/>
        <w:rPr>
          <w:rFonts w:ascii="Times New Roman" w:hAnsi="Times New Roman"/>
          <w:sz w:val="28"/>
          <w:szCs w:val="28"/>
        </w:rPr>
      </w:pPr>
      <w:r w:rsidRPr="00BA321C">
        <w:rPr>
          <w:rFonts w:ascii="Times New Roman" w:hAnsi="Times New Roman"/>
          <w:b/>
          <w:sz w:val="28"/>
          <w:szCs w:val="28"/>
        </w:rPr>
        <w:t>Апробация результатов исследования.</w:t>
      </w:r>
      <w:r w:rsidRPr="00BA321C">
        <w:rPr>
          <w:rFonts w:ascii="Times New Roman" w:hAnsi="Times New Roman"/>
          <w:sz w:val="28"/>
          <w:szCs w:val="28"/>
        </w:rPr>
        <w:t xml:space="preserve"> Основные положения диссертационного исследования излагались и получили одобрение на международных, вузовских научно-практических конференциях и симпозиумах, в том числе на III международной научно-практической конференции "Международная научно-практическая (заочная) конференция «Теоретические и методологические проблемы современных наук», г.Новосибирск; IV Международной научно-практической конференции «География мирового хозяйства: регионализм в условиях глобализации», г.Москва; Международной научно-практической Интернет - конференции «Инновации в экономике на современном этапе и перспективы их развития», г.Днепропетровск (Украина); Всероссийской научно-практической конференции VIII Ковалевские чтения «Новые измерения социального пространства и социальные неравенства», г.Санкт-Петербург; III международной научно-практической конференции «Социально-экономическое, социально-политическое и социокультурное развитие регионов», г. Прага, 25-26 октября 2013 г.; XIX Международной заочной научно-практической конференции «Научная дискуссия: вопросы экономики и управления», г.Москва, 24 октября 2013 г.; VI Ежегодной всероссийской научно-практической заочной конференции "Проблемы социально- экономического развития России на современном этапе", г.Тамбов, 27 ноября </w:t>
      </w:r>
      <w:r w:rsidRPr="00BA321C">
        <w:rPr>
          <w:rFonts w:ascii="Times New Roman" w:hAnsi="Times New Roman"/>
          <w:sz w:val="28"/>
          <w:szCs w:val="28"/>
        </w:rPr>
        <w:lastRenderedPageBreak/>
        <w:t>2013 г.; III Международной научно-практической конференции «Современные проблемы социально-экономического развития», г. Махачкала, 31 октября 2013 г.; Всероссийской заочной научно-практической конференции «Тенденции и перспективы социально-экономического развития российских регионов», г. Чебоксары, 28 октября 2013 и др.</w:t>
      </w:r>
    </w:p>
    <w:p w:rsidR="00154C26" w:rsidRPr="00BA321C" w:rsidRDefault="00154C26" w:rsidP="00BA321C">
      <w:pPr>
        <w:pStyle w:val="a4"/>
        <w:shd w:val="clear" w:color="auto" w:fill="FFFFFF" w:themeFill="background1"/>
        <w:spacing w:after="0" w:line="360" w:lineRule="auto"/>
        <w:ind w:left="0" w:firstLine="851"/>
        <w:jc w:val="both"/>
        <w:rPr>
          <w:rFonts w:ascii="Times New Roman" w:hAnsi="Times New Roman"/>
          <w:sz w:val="28"/>
          <w:szCs w:val="28"/>
        </w:rPr>
      </w:pPr>
      <w:r w:rsidRPr="00BA321C">
        <w:rPr>
          <w:rFonts w:ascii="Times New Roman" w:hAnsi="Times New Roman"/>
          <w:sz w:val="28"/>
          <w:szCs w:val="28"/>
        </w:rPr>
        <w:t>По теме диссертации опубликовано 18 научных работ общим объемом 5,0 п.л. (в том числе 3 статьи в изданиях, входящих в перечень рекомендуемых ВАК РФ изданий для публикации материалов по кандидатским и докторским диссертациям, 1 статья в журнале, индексируемом наукометрической базой данных Scopus).</w:t>
      </w:r>
    </w:p>
    <w:p w:rsidR="00154C26" w:rsidRPr="00BA321C" w:rsidRDefault="00154C26" w:rsidP="00BA321C">
      <w:pPr>
        <w:pStyle w:val="a4"/>
        <w:shd w:val="clear" w:color="auto" w:fill="FFFFFF" w:themeFill="background1"/>
        <w:spacing w:after="0" w:line="360" w:lineRule="auto"/>
        <w:ind w:left="0" w:firstLine="851"/>
        <w:jc w:val="both"/>
        <w:rPr>
          <w:rFonts w:ascii="Times New Roman" w:hAnsi="Times New Roman"/>
          <w:sz w:val="28"/>
          <w:szCs w:val="28"/>
        </w:rPr>
      </w:pPr>
      <w:r w:rsidRPr="00BA321C">
        <w:rPr>
          <w:rFonts w:ascii="Times New Roman" w:hAnsi="Times New Roman"/>
          <w:sz w:val="28"/>
          <w:szCs w:val="28"/>
        </w:rPr>
        <w:t>Основные положения диссертации нашли практическое применение в деятельности Центра перспективных экономических исследований Академии наук Республики Татарстан, а также в работе Министерства экономики Республики Татарстан, что подтверждено соответствующими справками о внедрении.</w:t>
      </w:r>
    </w:p>
    <w:p w:rsidR="00154C26" w:rsidRPr="00BA321C" w:rsidRDefault="00154C26" w:rsidP="00BA321C">
      <w:pPr>
        <w:pStyle w:val="afe"/>
        <w:widowControl w:val="0"/>
        <w:shd w:val="clear" w:color="auto" w:fill="FFFFFF" w:themeFill="background1"/>
        <w:tabs>
          <w:tab w:val="left" w:pos="-2127"/>
        </w:tabs>
        <w:spacing w:after="0" w:line="360" w:lineRule="auto"/>
        <w:ind w:left="0" w:firstLine="709"/>
        <w:jc w:val="both"/>
        <w:rPr>
          <w:rFonts w:ascii="Times New Roman" w:hAnsi="Times New Roman"/>
          <w:sz w:val="28"/>
          <w:szCs w:val="28"/>
        </w:rPr>
      </w:pPr>
      <w:r w:rsidRPr="00BA321C">
        <w:rPr>
          <w:rFonts w:ascii="Times New Roman" w:hAnsi="Times New Roman"/>
          <w:b/>
          <w:sz w:val="28"/>
          <w:szCs w:val="28"/>
        </w:rPr>
        <w:t>Структура исследования.</w:t>
      </w:r>
      <w:r w:rsidRPr="00BA321C">
        <w:rPr>
          <w:rFonts w:ascii="Times New Roman" w:hAnsi="Times New Roman"/>
          <w:sz w:val="28"/>
          <w:szCs w:val="28"/>
        </w:rPr>
        <w:t xml:space="preserve"> Диссертация состоит из введения, трех глав, заключения, библиографии и приложений. Содержит 41 таблицу, 19 рисунков, </w:t>
      </w:r>
      <w:r w:rsidR="00BA321C" w:rsidRPr="005A0B95">
        <w:rPr>
          <w:rFonts w:ascii="Times New Roman" w:hAnsi="Times New Roman"/>
          <w:sz w:val="28"/>
          <w:szCs w:val="28"/>
        </w:rPr>
        <w:t>5</w:t>
      </w:r>
      <w:r w:rsidRPr="00BA321C">
        <w:rPr>
          <w:rFonts w:ascii="Times New Roman" w:hAnsi="Times New Roman"/>
          <w:sz w:val="28"/>
          <w:szCs w:val="28"/>
        </w:rPr>
        <w:t xml:space="preserve"> приложени</w:t>
      </w:r>
      <w:r w:rsidR="00BA321C">
        <w:rPr>
          <w:rFonts w:ascii="Times New Roman" w:hAnsi="Times New Roman"/>
          <w:sz w:val="28"/>
          <w:szCs w:val="28"/>
        </w:rPr>
        <w:t>й</w:t>
      </w:r>
      <w:r w:rsidRPr="00BA321C">
        <w:rPr>
          <w:rFonts w:ascii="Times New Roman" w:hAnsi="Times New Roman"/>
          <w:sz w:val="28"/>
          <w:szCs w:val="28"/>
        </w:rPr>
        <w:t xml:space="preserve">. Общий объем работы </w:t>
      </w:r>
      <w:r w:rsidR="00BA321C" w:rsidRPr="005A0B95">
        <w:rPr>
          <w:rFonts w:ascii="Times New Roman" w:hAnsi="Times New Roman"/>
          <w:sz w:val="28"/>
          <w:szCs w:val="28"/>
        </w:rPr>
        <w:t>211</w:t>
      </w:r>
      <w:r w:rsidRPr="00BA321C">
        <w:rPr>
          <w:rFonts w:ascii="Times New Roman" w:hAnsi="Times New Roman"/>
          <w:sz w:val="28"/>
          <w:szCs w:val="28"/>
        </w:rPr>
        <w:t xml:space="preserve"> страниц. Библиографический </w:t>
      </w:r>
      <w:r w:rsidR="00C610E9" w:rsidRPr="00BA321C">
        <w:rPr>
          <w:rFonts w:ascii="Times New Roman" w:hAnsi="Times New Roman"/>
          <w:sz w:val="28"/>
          <w:szCs w:val="28"/>
        </w:rPr>
        <w:t>содержит</w:t>
      </w:r>
      <w:r w:rsidRPr="00BA321C">
        <w:rPr>
          <w:rFonts w:ascii="Times New Roman" w:hAnsi="Times New Roman"/>
          <w:sz w:val="28"/>
          <w:szCs w:val="28"/>
        </w:rPr>
        <w:t xml:space="preserve"> </w:t>
      </w:r>
      <w:r w:rsidRPr="005A0B95">
        <w:rPr>
          <w:rFonts w:ascii="Times New Roman" w:hAnsi="Times New Roman"/>
          <w:sz w:val="28"/>
          <w:szCs w:val="28"/>
        </w:rPr>
        <w:t>101</w:t>
      </w:r>
      <w:r w:rsidRPr="00BA321C">
        <w:rPr>
          <w:rFonts w:ascii="Times New Roman" w:hAnsi="Times New Roman"/>
          <w:sz w:val="28"/>
          <w:szCs w:val="28"/>
        </w:rPr>
        <w:t xml:space="preserve"> источник.</w:t>
      </w:r>
    </w:p>
    <w:p w:rsidR="00C610E9" w:rsidRPr="00BA321C" w:rsidRDefault="00C610E9"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Во </w:t>
      </w:r>
      <w:r w:rsidRPr="00BA321C">
        <w:rPr>
          <w:rFonts w:ascii="Times New Roman" w:hAnsi="Times New Roman"/>
          <w:b/>
          <w:sz w:val="28"/>
          <w:szCs w:val="28"/>
        </w:rPr>
        <w:t>введении</w:t>
      </w:r>
      <w:r w:rsidRPr="00BA321C">
        <w:rPr>
          <w:rFonts w:ascii="Times New Roman" w:hAnsi="Times New Roman"/>
          <w:sz w:val="28"/>
          <w:szCs w:val="28"/>
        </w:rPr>
        <w:t xml:space="preserve"> обосновывается выбор темы, актуализируется ее значимость, осуществляется оценка теоретической и практической разработанности, определяются цель и задачи, раскрывается научная новизна, формулируются основные научные гипотезы.</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w:t>
      </w:r>
      <w:r w:rsidRPr="00BA321C">
        <w:rPr>
          <w:rFonts w:ascii="Times New Roman" w:hAnsi="Times New Roman"/>
          <w:b/>
          <w:sz w:val="28"/>
          <w:szCs w:val="28"/>
        </w:rPr>
        <w:t>первой главе</w:t>
      </w:r>
      <w:r w:rsidRPr="00BA321C">
        <w:rPr>
          <w:rFonts w:ascii="Times New Roman" w:hAnsi="Times New Roman"/>
          <w:sz w:val="28"/>
          <w:szCs w:val="28"/>
        </w:rPr>
        <w:t xml:space="preserve"> «Теоретические основы регулирования и развития производительных сил» рассмотрены сущность и содержание развития и размещения производительных сил региона, предложены механизмы организационно-экономического развития производительных сил в региональной экономике, определены и обоснованы методы оценки эффективности организационно-экономического развития и размещения производительных сил в регионе.</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lastRenderedPageBreak/>
        <w:t xml:space="preserve">Во </w:t>
      </w:r>
      <w:r w:rsidRPr="00BA321C">
        <w:rPr>
          <w:rFonts w:ascii="Times New Roman" w:hAnsi="Times New Roman"/>
          <w:b/>
          <w:sz w:val="28"/>
          <w:szCs w:val="28"/>
        </w:rPr>
        <w:t>второй главе</w:t>
      </w:r>
      <w:r w:rsidRPr="00BA321C">
        <w:rPr>
          <w:rFonts w:ascii="Times New Roman" w:hAnsi="Times New Roman"/>
          <w:sz w:val="28"/>
          <w:szCs w:val="28"/>
        </w:rPr>
        <w:t xml:space="preserve"> «Разработка и апробация методических подходов к организационно-экономическому развитию региональных производительных сил» разработаны  концептуальные подходы к измерению и методике оценки социально-экономической привлекательности регионов; выявлен агломерационный «каркас» индустриально-промышленного развития регионов ПФО и реализована оценка его влияния на развитие и размещение производительных сил.</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w:t>
      </w:r>
      <w:r w:rsidRPr="00BA321C">
        <w:rPr>
          <w:rFonts w:ascii="Times New Roman" w:hAnsi="Times New Roman"/>
          <w:b/>
          <w:sz w:val="28"/>
          <w:szCs w:val="28"/>
        </w:rPr>
        <w:t>третьей главе</w:t>
      </w:r>
      <w:r w:rsidRPr="00BA321C">
        <w:rPr>
          <w:rFonts w:ascii="Times New Roman" w:hAnsi="Times New Roman"/>
          <w:sz w:val="28"/>
          <w:szCs w:val="28"/>
        </w:rPr>
        <w:t xml:space="preserve"> «Концепция разработки и обоснования региональных стратегий развития и размещения производительных сил» осуществлен структурно-динамический анализ факторов, влияющих на эффективность развития производительных сил региона, в концентрированном виде выраженной в росте ВРП; разработана и апробирована прогностическая модель развития регионов Приволжского федерального округа в результате выявленных у них специфических особенностей, формирующих экономический, социальный и институциональный потенциалы развития производительных сил; обоснованы направления государственного регулирования процессов развития производительных сил в регионах ПФО с учетом тенденций изменения параметров и факторов социально-экономической привлекательности.</w:t>
      </w:r>
    </w:p>
    <w:p w:rsidR="00154C26" w:rsidRPr="00BA321C" w:rsidRDefault="00154C26"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w:t>
      </w:r>
      <w:r w:rsidRPr="00BA321C">
        <w:rPr>
          <w:rFonts w:ascii="Times New Roman" w:hAnsi="Times New Roman"/>
          <w:b/>
          <w:sz w:val="28"/>
          <w:szCs w:val="28"/>
        </w:rPr>
        <w:t>заключении</w:t>
      </w:r>
      <w:r w:rsidRPr="00BA321C">
        <w:rPr>
          <w:rFonts w:ascii="Times New Roman" w:hAnsi="Times New Roman"/>
          <w:sz w:val="28"/>
          <w:szCs w:val="28"/>
        </w:rPr>
        <w:t xml:space="preserve"> диссертации обобщены выводы и рекомендации по результатам исследования проблем развития и размещения производительных сил в регионах с учетом сформировавшихся и перспективных особенностей развития социально-экономических и институциональных параметров регионального развития.</w:t>
      </w:r>
    </w:p>
    <w:p w:rsidR="00E53C41" w:rsidRPr="00BA321C" w:rsidRDefault="00E53C41" w:rsidP="00BA321C">
      <w:pPr>
        <w:shd w:val="clear" w:color="auto" w:fill="FFFFFF" w:themeFill="background1"/>
        <w:spacing w:after="0" w:line="360" w:lineRule="auto"/>
        <w:ind w:firstLine="851"/>
        <w:jc w:val="both"/>
        <w:rPr>
          <w:rFonts w:ascii="Times New Roman" w:hAnsi="Times New Roman"/>
          <w:sz w:val="28"/>
          <w:szCs w:val="28"/>
        </w:rPr>
      </w:pPr>
    </w:p>
    <w:p w:rsidR="00E53C41" w:rsidRPr="00BA321C" w:rsidRDefault="00E53C41"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7A7047" w:rsidRPr="00BA321C" w:rsidRDefault="007A7047" w:rsidP="00C35E98">
      <w:pPr>
        <w:pStyle w:val="3"/>
      </w:pPr>
      <w:bookmarkStart w:id="1" w:name="_Toc451869586"/>
      <w:r w:rsidRPr="00BA321C">
        <w:lastRenderedPageBreak/>
        <w:t xml:space="preserve">ГЛАВА 1 ТЕОРЕТИЧЕСКИЕ ОСНОВЫ </w:t>
      </w:r>
      <w:r w:rsidR="00D412F5" w:rsidRPr="00BA321C">
        <w:t xml:space="preserve">ОРГАНИЗАЦИОННО-ЭКОНОМИЧЕСКОГО </w:t>
      </w:r>
      <w:r w:rsidRPr="00BA321C">
        <w:t>РЕГУЛИРОВАНИЯ И РАЗВИТИЯ ПРОИЗВОДИТЕЛЬНЫХ СИЛ</w:t>
      </w:r>
      <w:bookmarkEnd w:id="1"/>
    </w:p>
    <w:p w:rsidR="007A7047" w:rsidRPr="00BA321C" w:rsidRDefault="007A7047" w:rsidP="00BA321C">
      <w:pPr>
        <w:shd w:val="clear" w:color="auto" w:fill="FFFFFF" w:themeFill="background1"/>
        <w:spacing w:after="0" w:line="360" w:lineRule="auto"/>
        <w:jc w:val="both"/>
        <w:rPr>
          <w:rFonts w:ascii="Times New Roman" w:hAnsi="Times New Roman"/>
          <w:b/>
          <w:sz w:val="28"/>
          <w:szCs w:val="28"/>
        </w:rPr>
      </w:pPr>
    </w:p>
    <w:p w:rsidR="007A7047" w:rsidRPr="00BA321C" w:rsidRDefault="007A7047" w:rsidP="00C35E98">
      <w:pPr>
        <w:pStyle w:val="3"/>
      </w:pPr>
      <w:bookmarkStart w:id="2" w:name="_Toc451869587"/>
      <w:r w:rsidRPr="00BA321C">
        <w:t>1.1 Содержание основных понятий, дефиниций, эволюция взглядов на развитие и размещение производительных сил</w:t>
      </w:r>
      <w:bookmarkEnd w:id="2"/>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Вопрос о факторах, определяющих развитие и размещение производительных сил, волновал экономистов, представляющих многие научные направления и экономические школы на разных этапах исторического развития экономической теории. </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Основоположниками теории производительных сил стали представители классической школы Адам Смит и Д</w:t>
      </w:r>
      <w:r w:rsidR="007F4D1E" w:rsidRPr="00BA321C">
        <w:rPr>
          <w:rFonts w:ascii="Times New Roman" w:hAnsi="Times New Roman"/>
          <w:sz w:val="28"/>
          <w:szCs w:val="28"/>
        </w:rPr>
        <w:t>а</w:t>
      </w:r>
      <w:r w:rsidRPr="00BA321C">
        <w:rPr>
          <w:rFonts w:ascii="Times New Roman" w:hAnsi="Times New Roman"/>
          <w:sz w:val="28"/>
          <w:szCs w:val="28"/>
        </w:rPr>
        <w:t xml:space="preserve">вид Рикардо. Однако следует отметить, что представители классической школы к производительным силам относили материальные факторы производства, такие как труд, земля, капитал.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Главный вопрос, волновавший классиков политической экономии,- что лежит в основе создания материальных благ? Иначе говоря, какие факторы являются производительными.</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Так, А. Смит считал, что </w:t>
      </w:r>
      <w:r w:rsidR="009E61CB" w:rsidRPr="00BA321C">
        <w:rPr>
          <w:rFonts w:ascii="Times New Roman" w:hAnsi="Times New Roman"/>
          <w:sz w:val="28"/>
          <w:szCs w:val="28"/>
        </w:rPr>
        <w:t>«</w:t>
      </w:r>
      <w:r w:rsidRPr="00BA321C">
        <w:rPr>
          <w:rFonts w:ascii="Times New Roman" w:hAnsi="Times New Roman"/>
          <w:sz w:val="28"/>
          <w:szCs w:val="28"/>
        </w:rPr>
        <w:t>истинный создатель богатства – годовой труд каждой нации. Годичный труд каждого народа представляет собою первоначальный фонд, который доставляет ему все необходимые для существования и удобства жизни продукты»[1]. Рассуждая в терминах современной терминологии, Смит А. подразумевает здесь валовой национальный продукт.</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в работах А. Смита наблюдаются различия между видами труда. Так, труд, согласно смитовкой концепции, подразделяется на производительный и непроизводительный. По Смиту, </w:t>
      </w:r>
      <w:r w:rsidR="00C610E9" w:rsidRPr="00BA321C">
        <w:rPr>
          <w:rFonts w:ascii="Times New Roman" w:hAnsi="Times New Roman"/>
          <w:sz w:val="28"/>
          <w:szCs w:val="28"/>
        </w:rPr>
        <w:t>«</w:t>
      </w:r>
      <w:r w:rsidRPr="00BA321C">
        <w:rPr>
          <w:rFonts w:ascii="Times New Roman" w:hAnsi="Times New Roman"/>
          <w:sz w:val="28"/>
          <w:szCs w:val="28"/>
        </w:rPr>
        <w:t xml:space="preserve">производителен труд в материальном производстве, то есть труд рабочих и фермеров, строителей и каменщиков. Их труд создает стоимость, умножает богатство. А труд чиновников и офицеров, администраторов и ученых, писателей и музыкантов, </w:t>
      </w:r>
      <w:r w:rsidRPr="00BA321C">
        <w:rPr>
          <w:rFonts w:ascii="Times New Roman" w:hAnsi="Times New Roman"/>
          <w:sz w:val="28"/>
          <w:szCs w:val="28"/>
        </w:rPr>
        <w:lastRenderedPageBreak/>
        <w:t>юристов и священников стоимости не создает. Их труд полезен, нужен обществу, но не производителен</w:t>
      </w:r>
      <w:r w:rsidR="00C610E9" w:rsidRPr="00BA321C">
        <w:rPr>
          <w:rFonts w:ascii="Times New Roman" w:hAnsi="Times New Roman"/>
          <w:sz w:val="28"/>
          <w:szCs w:val="28"/>
        </w:rPr>
        <w:t>»</w:t>
      </w:r>
      <w:r w:rsidRPr="00BA321C">
        <w:rPr>
          <w:rFonts w:ascii="Times New Roman" w:hAnsi="Times New Roman"/>
          <w:sz w:val="28"/>
          <w:szCs w:val="28"/>
        </w:rPr>
        <w:t xml:space="preserve"> [1].</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Кроме труда к факторам производства Адам Смит относил капитал, который представляет из себя «запас продуктов различного рода, достаточный для содержания человека и снабжения его необходимыми для его работы материалами и орудиями в течение всего периода производства и продажи продукта его труда. Капитал – это фактор производства, ответственный за все, что текущий труд должен получить за счет прошлого труда и продукта прошлого труда</w:t>
      </w:r>
      <w:r w:rsidR="009E61CB" w:rsidRPr="00BA321C">
        <w:rPr>
          <w:rFonts w:ascii="Times New Roman" w:hAnsi="Times New Roman"/>
          <w:sz w:val="28"/>
          <w:szCs w:val="28"/>
        </w:rPr>
        <w:t>»</w:t>
      </w:r>
      <w:r w:rsidRPr="00BA321C">
        <w:rPr>
          <w:rFonts w:ascii="Times New Roman" w:hAnsi="Times New Roman"/>
          <w:sz w:val="28"/>
          <w:szCs w:val="28"/>
        </w:rPr>
        <w:t xml:space="preserve"> [1].</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Большой вклад в анализ производственных факторов внес Жан-Батист Сэй. При определении значимости производственных факторов, к которым он относил труд, землю и капитал он оперирует степенью их полезности в формировании ценности благ и умножения богатства. При этом производственные факторы Сей рассматривал как равнозначные источники ценности. </w:t>
      </w:r>
      <w:r w:rsidR="009E61CB" w:rsidRPr="00BA321C">
        <w:rPr>
          <w:rFonts w:ascii="Times New Roman" w:hAnsi="Times New Roman"/>
          <w:sz w:val="28"/>
          <w:szCs w:val="28"/>
        </w:rPr>
        <w:t>«</w:t>
      </w:r>
      <w:r w:rsidRPr="00BA321C">
        <w:rPr>
          <w:rFonts w:ascii="Times New Roman" w:hAnsi="Times New Roman"/>
          <w:sz w:val="28"/>
          <w:szCs w:val="28"/>
        </w:rPr>
        <w:t>Каждый из собственников указанных факторов – рабочий, землевладелец, предприниматель – должен быть вознагражден по заслугам. Соответственно рабочий получает доход в форме заработной платы, земельный собственник – ренту, предприниматель – прибыль</w:t>
      </w:r>
      <w:r w:rsidR="009E61CB" w:rsidRPr="00BA321C">
        <w:rPr>
          <w:rFonts w:ascii="Times New Roman" w:hAnsi="Times New Roman"/>
          <w:sz w:val="28"/>
          <w:szCs w:val="28"/>
        </w:rPr>
        <w:t>»</w:t>
      </w:r>
      <w:r w:rsidR="003063E9" w:rsidRPr="00BA321C">
        <w:rPr>
          <w:rFonts w:ascii="Times New Roman" w:hAnsi="Times New Roman"/>
          <w:sz w:val="28"/>
          <w:szCs w:val="28"/>
        </w:rPr>
        <w:t xml:space="preserve"> </w:t>
      </w:r>
      <w:r w:rsidRPr="00BA321C">
        <w:rPr>
          <w:rFonts w:ascii="Times New Roman" w:hAnsi="Times New Roman"/>
          <w:sz w:val="28"/>
          <w:szCs w:val="28"/>
        </w:rPr>
        <w:t>[2].</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Краткий исторический анализ классической политической экономии отражает то, что ее представители заложили теоретические основы для изучения производительных сил. Однако в их учениях отсутствует четкий понятийный аппарат, регламентирующий сущность производительных сил. Решение данного вопроса было реализовано в марксистской теории производительных сил. Именно здесь она получает всестороннее развитие.</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Карл Маркс, в своей теории, выделял вещественный и личный факторы производства. Под вещественным фактором производства подразумевались средства производства, которые состоят из предметов и средств труда, а в качестве личного фактора выступал человек - носитель рабочей силы.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Средство труда есть «… вещь или комплекс вещей, которые человек помещает между собой и предметом труда и которые служат для него в </w:t>
      </w:r>
      <w:r w:rsidRPr="00BA321C">
        <w:rPr>
          <w:rFonts w:ascii="Times New Roman" w:hAnsi="Times New Roman"/>
          <w:sz w:val="28"/>
          <w:szCs w:val="28"/>
        </w:rPr>
        <w:lastRenderedPageBreak/>
        <w:t>качестве проводника его воздействий на этот предмет»</w:t>
      </w:r>
      <w:r w:rsidR="003063E9" w:rsidRPr="00BA321C">
        <w:rPr>
          <w:rFonts w:ascii="Times New Roman" w:hAnsi="Times New Roman"/>
          <w:sz w:val="28"/>
          <w:szCs w:val="28"/>
        </w:rPr>
        <w:t xml:space="preserve"> </w:t>
      </w:r>
      <w:r w:rsidR="009E61CB" w:rsidRPr="00BA321C">
        <w:rPr>
          <w:rFonts w:ascii="Times New Roman" w:hAnsi="Times New Roman"/>
          <w:sz w:val="28"/>
          <w:szCs w:val="28"/>
        </w:rPr>
        <w:t>[3]</w:t>
      </w:r>
      <w:r w:rsidRPr="00BA321C">
        <w:rPr>
          <w:rFonts w:ascii="Times New Roman" w:hAnsi="Times New Roman"/>
          <w:sz w:val="28"/>
          <w:szCs w:val="28"/>
        </w:rPr>
        <w:t xml:space="preserve">. </w:t>
      </w:r>
      <w:r w:rsidR="009E61CB" w:rsidRPr="00BA321C">
        <w:rPr>
          <w:rFonts w:ascii="Times New Roman" w:hAnsi="Times New Roman"/>
          <w:sz w:val="28"/>
          <w:szCs w:val="28"/>
        </w:rPr>
        <w:t>«</w:t>
      </w:r>
      <w:r w:rsidRPr="00BA321C">
        <w:rPr>
          <w:rFonts w:ascii="Times New Roman" w:hAnsi="Times New Roman"/>
          <w:sz w:val="28"/>
          <w:szCs w:val="28"/>
        </w:rPr>
        <w:t>Средства труда, согласно марксистской доктрины, включают станки, машины, инструменты, с помощью них человек воздействует на природу, а также производственные здания, землю, каналы, дороги и т. д. К средствам труда в более широком смысле относятся все материальные условия труда, без которых он не может совершаться. Всеобщим условием труда является земля, условиями труда также являются производственные здания, дороги и т. д. Результаты общественного познания природы воплощаются в средствах труда и процессах их производственного применения, в технике и технологии. Уровень развития техники (и технологии) служит главным показателем степени овладения обществом силами природы. Технология вскрывает активное отношение человека к природе, непосредственный процесс производства его жизни»</w:t>
      </w:r>
      <w:r w:rsidR="003063E9" w:rsidRPr="00BA321C">
        <w:rPr>
          <w:rFonts w:ascii="Times New Roman" w:hAnsi="Times New Roman"/>
          <w:sz w:val="28"/>
          <w:szCs w:val="28"/>
        </w:rPr>
        <w:t xml:space="preserve"> </w:t>
      </w:r>
      <w:r w:rsidRPr="00BA321C">
        <w:rPr>
          <w:rFonts w:ascii="Times New Roman" w:hAnsi="Times New Roman"/>
          <w:sz w:val="28"/>
          <w:szCs w:val="28"/>
        </w:rPr>
        <w:t>[3].</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Более поздние учения политической экономии также нашли отражение в вопросах изучения производительных сил. Представители неоклассицизма к факторам производства стали относить нематериальные блага. Данная доктрина в определенной степени усилила теорию производительных сил.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Так Альфред Маршалл утверждал, что к капиталу необходимо относить нематериальные </w:t>
      </w:r>
      <w:r w:rsidR="00942FF1" w:rsidRPr="00BA321C">
        <w:rPr>
          <w:rFonts w:ascii="Times New Roman" w:hAnsi="Times New Roman"/>
          <w:sz w:val="28"/>
          <w:szCs w:val="28"/>
        </w:rPr>
        <w:t>ценности</w:t>
      </w:r>
      <w:r w:rsidRPr="00BA321C">
        <w:rPr>
          <w:rFonts w:ascii="Times New Roman" w:hAnsi="Times New Roman"/>
          <w:sz w:val="28"/>
          <w:szCs w:val="28"/>
        </w:rPr>
        <w:t xml:space="preserve">: </w:t>
      </w:r>
      <w:r w:rsidR="00942FF1" w:rsidRPr="00BA321C">
        <w:rPr>
          <w:rFonts w:ascii="Times New Roman" w:hAnsi="Times New Roman"/>
          <w:sz w:val="28"/>
          <w:szCs w:val="28"/>
        </w:rPr>
        <w:t xml:space="preserve">деловые связи предпринимателя и доверие к нему как к личности, профессиональные и </w:t>
      </w:r>
      <w:r w:rsidRPr="00BA321C">
        <w:rPr>
          <w:rFonts w:ascii="Times New Roman" w:hAnsi="Times New Roman"/>
          <w:sz w:val="28"/>
          <w:szCs w:val="28"/>
        </w:rPr>
        <w:t>деловые способности</w:t>
      </w:r>
      <w:r w:rsidR="00942FF1" w:rsidRPr="00BA321C">
        <w:rPr>
          <w:rFonts w:ascii="Times New Roman" w:hAnsi="Times New Roman"/>
          <w:sz w:val="28"/>
          <w:szCs w:val="28"/>
        </w:rPr>
        <w:t>,</w:t>
      </w:r>
      <w:r w:rsidRPr="00BA321C">
        <w:rPr>
          <w:rFonts w:ascii="Times New Roman" w:hAnsi="Times New Roman"/>
          <w:sz w:val="28"/>
          <w:szCs w:val="28"/>
        </w:rPr>
        <w:t xml:space="preserve"> мастерство. «Знание – это наш самый мощный двигатель производства»</w:t>
      </w:r>
      <w:r w:rsidR="003063E9" w:rsidRPr="00BA321C">
        <w:rPr>
          <w:rFonts w:ascii="Times New Roman" w:hAnsi="Times New Roman"/>
          <w:sz w:val="28"/>
          <w:szCs w:val="28"/>
        </w:rPr>
        <w:t xml:space="preserve"> </w:t>
      </w:r>
      <w:r w:rsidR="00942FF1" w:rsidRPr="00BA321C">
        <w:rPr>
          <w:rFonts w:ascii="Times New Roman" w:hAnsi="Times New Roman"/>
          <w:sz w:val="28"/>
          <w:szCs w:val="28"/>
        </w:rPr>
        <w:t>[4]</w:t>
      </w:r>
      <w:r w:rsidRPr="00BA321C">
        <w:rPr>
          <w:rFonts w:ascii="Times New Roman" w:hAnsi="Times New Roman"/>
          <w:sz w:val="28"/>
          <w:szCs w:val="28"/>
        </w:rPr>
        <w:t>. Но это не обязательно производственные знания. «В подавляющем большинстве отраслей технические знания и навыки становятся с каждым днем все менее существенными по сравнению с такими качествами, как способность правильно принимать решения, оперативность, находчивость, осторожность и настойчивость в осуществлении цели»</w:t>
      </w:r>
      <w:r w:rsidR="003063E9" w:rsidRPr="00BA321C">
        <w:rPr>
          <w:rFonts w:ascii="Times New Roman" w:hAnsi="Times New Roman"/>
          <w:sz w:val="28"/>
          <w:szCs w:val="28"/>
        </w:rPr>
        <w:t xml:space="preserve"> </w:t>
      </w:r>
      <w:r w:rsidRPr="00BA321C">
        <w:rPr>
          <w:rFonts w:ascii="Times New Roman" w:hAnsi="Times New Roman"/>
          <w:sz w:val="28"/>
          <w:szCs w:val="28"/>
        </w:rPr>
        <w:t>[4].</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Кроме того</w:t>
      </w:r>
      <w:r w:rsidR="00BF0B35" w:rsidRPr="00BA321C">
        <w:rPr>
          <w:rFonts w:ascii="Times New Roman" w:hAnsi="Times New Roman"/>
          <w:sz w:val="28"/>
          <w:szCs w:val="28"/>
        </w:rPr>
        <w:t>,</w:t>
      </w:r>
      <w:r w:rsidRPr="00BA321C">
        <w:rPr>
          <w:rFonts w:ascii="Times New Roman" w:hAnsi="Times New Roman"/>
          <w:sz w:val="28"/>
          <w:szCs w:val="28"/>
        </w:rPr>
        <w:t xml:space="preserve"> </w:t>
      </w:r>
      <w:hyperlink r:id="rId9" w:tooltip="Маршалл, Альфред" w:history="1">
        <w:r w:rsidRPr="00BA321C">
          <w:rPr>
            <w:rFonts w:ascii="Times New Roman" w:hAnsi="Times New Roman"/>
            <w:sz w:val="28"/>
            <w:szCs w:val="28"/>
          </w:rPr>
          <w:t>Альфред Маршалл</w:t>
        </w:r>
      </w:hyperlink>
      <w:r w:rsidRPr="00BA321C">
        <w:rPr>
          <w:rFonts w:ascii="Times New Roman" w:hAnsi="Times New Roman"/>
          <w:sz w:val="28"/>
          <w:szCs w:val="28"/>
        </w:rPr>
        <w:t xml:space="preserve"> </w:t>
      </w:r>
      <w:r w:rsidR="00BF0B35" w:rsidRPr="00BA321C">
        <w:rPr>
          <w:rFonts w:ascii="Times New Roman" w:hAnsi="Times New Roman"/>
          <w:sz w:val="28"/>
          <w:szCs w:val="28"/>
        </w:rPr>
        <w:t>утверждал, что</w:t>
      </w:r>
      <w:r w:rsidRPr="00BA321C">
        <w:rPr>
          <w:rFonts w:ascii="Times New Roman" w:hAnsi="Times New Roman"/>
          <w:sz w:val="28"/>
          <w:szCs w:val="28"/>
        </w:rPr>
        <w:t>: «</w:t>
      </w:r>
      <w:hyperlink r:id="rId10" w:tooltip="Капитал" w:history="1">
        <w:r w:rsidRPr="00BA321C">
          <w:rPr>
            <w:rFonts w:ascii="Times New Roman" w:hAnsi="Times New Roman"/>
            <w:sz w:val="28"/>
            <w:szCs w:val="28"/>
          </w:rPr>
          <w:t>капитал</w:t>
        </w:r>
      </w:hyperlink>
      <w:r w:rsidRPr="00BA321C">
        <w:rPr>
          <w:rFonts w:ascii="Times New Roman" w:hAnsi="Times New Roman"/>
          <w:sz w:val="28"/>
          <w:szCs w:val="28"/>
        </w:rPr>
        <w:t xml:space="preserve"> вообще и труд вообще взаимодействуют в производстве национального дивиденда и получают из него свои доходы соответственно в меру своей (предельной) производительности. Их взаимная зависимость самая тесная; капитал без </w:t>
      </w:r>
      <w:r w:rsidRPr="00BA321C">
        <w:rPr>
          <w:rFonts w:ascii="Times New Roman" w:hAnsi="Times New Roman"/>
          <w:sz w:val="28"/>
          <w:szCs w:val="28"/>
        </w:rPr>
        <w:lastRenderedPageBreak/>
        <w:t>труда мертв; рабочий без помощи своего собственного или чьего-либо другого капитала проживет недолго. Когда труд энергичен, капитал пожинает богатые плоды и быстро возрастает; благодаря капиталу и знаниям рядовой рабочий западного мира питается, одевается и даже обеспечен жильем во многих отношениях лучше, чем принцы в прежние времена. Сотрудничество между капиталом и трудом столь же обязательно, как и сотрудничество между прядильщиком и ткачом; небольшой приоритет на стороне прядильщика, но это не дает ему никакого преимущества. Процветание каждого из них теснейшим образом связано с силой и энергией другого, хотя каждый из них может выгадать себе временно, а то и постоянно, за счет другого, несколько большую долю национального дивиденда» [4].</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Развитие теории факторов производства нашло свое отражение и в трудах Джон Бейтса Кларка – одного из ярчайших представителей неоклассических взглядов, основателя маржиналистской теории. В качестве основы исследования он использовал теорию “трех факторов производства” Жан-Батиста Сэя. Он сформулировал в общем виде закон “убывающей предельной производительности” [5]. Сущность закона заключается в том, что когда хотя бы один из факторов производства остается неизменным (постоянным), дополнительное </w:t>
      </w:r>
      <w:r w:rsidR="009E61CB" w:rsidRPr="00BA321C">
        <w:rPr>
          <w:rFonts w:ascii="Times New Roman" w:hAnsi="Times New Roman"/>
          <w:sz w:val="28"/>
          <w:szCs w:val="28"/>
        </w:rPr>
        <w:t>прирост</w:t>
      </w:r>
      <w:r w:rsidRPr="00BA321C">
        <w:rPr>
          <w:rFonts w:ascii="Times New Roman" w:hAnsi="Times New Roman"/>
          <w:sz w:val="28"/>
          <w:szCs w:val="28"/>
        </w:rPr>
        <w:t xml:space="preserve"> других факторов дает все меньш</w:t>
      </w:r>
      <w:r w:rsidR="009E61CB" w:rsidRPr="00BA321C">
        <w:rPr>
          <w:rFonts w:ascii="Times New Roman" w:hAnsi="Times New Roman"/>
          <w:sz w:val="28"/>
          <w:szCs w:val="28"/>
        </w:rPr>
        <w:t>ее</w:t>
      </w:r>
      <w:r w:rsidRPr="00BA321C">
        <w:rPr>
          <w:rFonts w:ascii="Times New Roman" w:hAnsi="Times New Roman"/>
          <w:sz w:val="28"/>
          <w:szCs w:val="28"/>
        </w:rPr>
        <w:t xml:space="preserve"> прир</w:t>
      </w:r>
      <w:r w:rsidR="009E61CB" w:rsidRPr="00BA321C">
        <w:rPr>
          <w:rFonts w:ascii="Times New Roman" w:hAnsi="Times New Roman"/>
          <w:sz w:val="28"/>
          <w:szCs w:val="28"/>
        </w:rPr>
        <w:t>ащение</w:t>
      </w:r>
      <w:r w:rsidRPr="00BA321C">
        <w:rPr>
          <w:rFonts w:ascii="Times New Roman" w:hAnsi="Times New Roman"/>
          <w:sz w:val="28"/>
          <w:szCs w:val="28"/>
        </w:rPr>
        <w:t xml:space="preserve"> продукции. Другими словами, предельный продукт переменного фактора </w:t>
      </w:r>
      <w:r w:rsidR="009E61CB" w:rsidRPr="00BA321C">
        <w:rPr>
          <w:rFonts w:ascii="Times New Roman" w:hAnsi="Times New Roman"/>
          <w:sz w:val="28"/>
          <w:szCs w:val="28"/>
        </w:rPr>
        <w:t>стремиться</w:t>
      </w:r>
      <w:r w:rsidRPr="00BA321C">
        <w:rPr>
          <w:rFonts w:ascii="Times New Roman" w:hAnsi="Times New Roman"/>
          <w:sz w:val="28"/>
          <w:szCs w:val="28"/>
        </w:rPr>
        <w:t xml:space="preserve"> к </w:t>
      </w:r>
      <w:r w:rsidR="009E61CB" w:rsidRPr="00BA321C">
        <w:rPr>
          <w:rFonts w:ascii="Times New Roman" w:hAnsi="Times New Roman"/>
          <w:sz w:val="28"/>
          <w:szCs w:val="28"/>
        </w:rPr>
        <w:t>снижению</w:t>
      </w:r>
      <w:r w:rsidRPr="00BA321C">
        <w:rPr>
          <w:rFonts w:ascii="Times New Roman" w:hAnsi="Times New Roman"/>
          <w:sz w:val="28"/>
          <w:szCs w:val="28"/>
        </w:rPr>
        <w:t>.</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Итак, классики экономической теории заложили научный фундамент в изучение производительных сил. Именно они впервые подняли вопрос о факторах производства, производственных отношениях и методах их развития. Представители более поздних научных течений развивали это направление через призму собственных взглядов и убеждений. В более поздних теориях экономической мысли, объектом исследования которых выступали производительные силы, внимание исследователей фокусировалось на изучении производственных отношений. Более того в рамках советской школы экономической мысли 20-30-х годов дискуссионным </w:t>
      </w:r>
      <w:r w:rsidRPr="00BA321C">
        <w:rPr>
          <w:rFonts w:ascii="Times New Roman" w:hAnsi="Times New Roman"/>
          <w:sz w:val="28"/>
          <w:szCs w:val="28"/>
        </w:rPr>
        <w:lastRenderedPageBreak/>
        <w:t xml:space="preserve">был вопрос о том, включать ли в политическую экономию изучение только лишь производственных отношений, в то время как изучение производительных сил считалось среди целого ряда ученых недопустимым в рамках политэкономии.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К примеру, в начале первой половины 20-го столетия сформировались «идеалистическое» и «механистическое» направления в изучении взаимодействия производственных отношений с производительными силами. Так, в рамках первого направления, ярчайшими представителями которого были Давыдов И. В., Рубин И. И., считалось, что производительные силы не являются и не включаются в предмет политической экономии. В своих трудах Рубин И. И. пишет «Техника производства или производительные силы, — отмечал он, — входят в область исследования экономической теории Маркса, как и теории исторического материализма, только как предпосылка, как исходный пункт, который привлекается постольку, поскольку он необходим для объяснения подлинного предмета нашего изучения, а именно производственных отношений людей»</w:t>
      </w:r>
      <w:r w:rsidR="009045BC" w:rsidRPr="00BA321C">
        <w:rPr>
          <w:rFonts w:ascii="Times New Roman" w:hAnsi="Times New Roman"/>
          <w:sz w:val="28"/>
          <w:szCs w:val="28"/>
        </w:rPr>
        <w:t xml:space="preserve"> </w:t>
      </w:r>
      <w:r w:rsidRPr="00BA321C">
        <w:rPr>
          <w:rFonts w:ascii="Times New Roman" w:hAnsi="Times New Roman"/>
          <w:sz w:val="28"/>
          <w:szCs w:val="28"/>
        </w:rPr>
        <w:t>[6]. Кроме того, Рубин И. И. отождествлял производительные силы с техникой производства. Такая точка зрения, несомненно, являлась ошибочной и, конечно же, при таком понимании вопроса включать производительные силы в предмет политэкономии было нельзя.</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противоположность «идеалистам» представители «механистического» направления (С. В. Бессонов, Н. И. Бухарин, П. А. Богданов и др.) имели четкое убеждение, что производительные силы должны являться предметом политической экономии. К примеру, в своих научных трудах Богданов П. А. пишет: «специальным предметом нашей экономической науки, или политической экономии, является область общественно-трудовых отношений между людьми», вместе с тем он отмечал, что политическая экономия «не может не касаться при этом и других сторон процесса производства: она необходимо должна принимать во внимание его </w:t>
      </w:r>
      <w:r w:rsidRPr="00BA321C">
        <w:rPr>
          <w:rFonts w:ascii="Times New Roman" w:hAnsi="Times New Roman"/>
          <w:sz w:val="28"/>
          <w:szCs w:val="28"/>
        </w:rPr>
        <w:lastRenderedPageBreak/>
        <w:t xml:space="preserve">техническую и идеологическую сторону, поскольку от той и другой зависит его развитие» [7].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Производительные силы играют решающую роль в материальном производстве, охватывая различные стороны общественной жизни. Производительные силы - система, включающая совокупность способностей трудящихся с их богатым производственным опытом коллективной работы и совокупность потребительной стоимости средств (прежде всего машин) интегрированных в отраслевые и иные подсистемы в рамках страны (региона) [8]. Сегодня, несмотря на, казалось бы, всестороннюю изученность вопроса, не сформировано однозначное представление о составных частях производительных сил. В одних работах отмечается, что определяющей стороной производительных сил являются материальные средства труда, поскольку именно они выступают в качестве основы развития общественно-экономической формации [9]. Другие авторы утверждают, что человек является главенствующей производительной силой, особенно в условиях постиндустриальной экономики, характеризующейся возрастающей ролью научного мышления в производственной деятельности [10]. Помимо названных мнений и суждений существуют и теории, которые в своей основе закладывают изучение производительных сил через призму таких факторов, как наука, кооперация труда и использование сил природы [11].</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Таким образом, в самом общем смысле, под структурой производительных сил можно понимать совокупность элементов, участвующих в создании общественных благ. Вместе с тем большинство научных работ сводится к единому мнению, что производительные силы основываются, преимущественно, на двух элементах – средствах производства (физический капитал) и рабочей силе.</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Физический капитал состоит из трех основных составляющих: </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промышленные производственные фонды (средства труда);</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природно-ресурсный потенциал (предметы труда);</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инфраструктура, выступающая в роли обеспечения средств обращения.</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Средства производства, в обобщенном понимании, представляют из себя совокупность вещественных факторов, при помощи которых осуществляется процесс производства. Средства производства делят на средства труда и предметы труда. В своем научно-исследовательском труде К. Маркс говорил: «Средство труда есть вещь или комплекс вещей, которые человек помещает между собой и предметом труда и которые служат для него в качестве проводника его воздействия на предмет» [12]. </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Еще одним важным элементом производительных сил, наряду со средствами производства, является рабочая сила. Рабочую силу можно определить как совокупность способностей человека, применяемых в процессе производства материальных благ. В своем труде «Капитал» Карл Маркс определяет это понятие следующим образом «Под рабочей силой, или способностью к труду, мы понимаем совокупность физических и духовных способностей, которыми обладает организм, живая личность человека, и которые пускаются им в ход всякий раз, когда он производит какие-либо потребительские стоимости [12]».</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процессе эволюционного совершенствования понятия рабочей силы, являющейся основным элементом производительных сил, оно, на современном этапе развития, приобрело форму человеческого капитала. Более того понятие «человеческий капитал» имеет целый ряд подходов, раскрывающих его сущность и содержание. Согласно одной из них под человеческим капиталом понимают, в первую очередь, знания и навыки человека, которые определяют его производительные силы. Однако, по мнению Евсеева О. В. знания, навыки и способности – это внутренние ресурсы человека и если они соответствуют потребительскому спросу, то на рынке труда, они становятся товаром, а если нет, то человек рассчитывает на социальное пособие по безработице [13].</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Согласно другого подхода под человеческим капиталом понимаются «инвестиции в развитие знаний, навыков и способностей человека, повышающих эффективность его труда. Инвестиции в человеческий капитал со временем компенсируются увеличением доходов» [14]. Данная точка зрения вполне соответствует, на наш взгляд, современным тенденциям, характеризующим процессы макроэкономических генераций на современном этапе развития. Действительно, в условиях инновационно ориентированных направлений социально-экономического развития инвестиции в человеческий капитал становятся главенствующими при определении роста производительности труда. </w:t>
      </w:r>
    </w:p>
    <w:p w:rsidR="007A7047" w:rsidRPr="00BA321C" w:rsidRDefault="007A704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связи с вышеизложенным, осуществляя попытку объединения представленных точек зрения на сущность понятия «человеческий капитал» можно предположить, что человеческий капитал – это приобретенный в результате инвестиций и накоплений запас знаний, навыков, умений, способностей человека, использующихся в его трудовой деятельности и способствующих повышению производительности труда и заработной платы.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Таким образом, можно констатировать, что производительные силы состоят из двух основополагающих элементов, к которым относятся физический и человеческий капиталы. Однако следует заметить, что рассматриваемые виды капитала в автономном режиме являются лишь потенциальными производительными силами. Реальный производительный характер они получают тогда, когда вступают во взаимодействие между собой, генерируя определенного рода экономические отношения по производству материальных благ. Можно утверждать, что данные отношения являются составной частью производительных сил. В связи с этим возникает необходимость более детального рассмотрения и изучения данной дефиниции. Сами по себе производительные силы являются «ядром», а экономические отношения – формой их реализации. Вступая во взаимодействие эти элементы производительных сил, обеспечивают прогресс общественного воспроизводства.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lastRenderedPageBreak/>
        <w:t>В качестве промежуточного (косвенного) элемента, формирующего основы взаимодействия между производительными силами и производственными отношениями выступают государственные институты, обеспечивающие эффективность такого взаимодействия, и как следствие, динамику развития производительных сил. Данная мысль находит свое подтверждение в работах К. Маркса и Ф. Энгельса. Так, к примеру, Карл Маркс в некоторых своих работах к косвенным элементам, определяющим характер развития производительных сил, относит помимо кооперации, разделения труда, науки, сил природы – государство, являющегося, по его мнению, ключевым элементом координации и развития производительных сил. Более того Ф. Энгельс писал: «Действие государственной власти на экономическое развитие может быть троякого рода. Она может действовать в том же направлении – тогда развитие идет быстрее; она может действовать против экономического развития – тогда в настоящее время у каждого крупного народа она терпит крах через известный промежуток времени; или она может ставить экономическому развитию в определенных направлениях преграды и толкать его в других направлениях. Однако ясно, что во втором и третьем случаях политическая власть может причинить экономическому развитию величайший вред и может вызвать растрату сил и материала в массовом количестве» [15]. Главный вывод, который можно сделать из приведенной мысли – государственные институты являются экономической силой, определяющей характер и динамику экономического развития.</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Таким образом, при изучении развития и размещения производительных сил существует необходимость анализа институциональных особенностей развития системы в тот или иной исторический период, в том числе и государственных институтов. В связи с этим представляется целесообразным в дальнейшем, при изучении перспектив развития производительных сил, подвергать оценке и анализу институциональный капитал, присущий той или иной территории.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lastRenderedPageBreak/>
        <w:t>Под институциональным капиталом понимается совокупность институтов, содействующих эффективному формированию, накоплению, воспроизводству и использованию всех видов капитала, а также способствующих их инновационному развитию [16, с. 97-99]. Вместе с тем, на наш взгляд, данное определение нуждается в корректировке в части того, что институциональный капитал не обязательно должен обеспечивать накопление и воспроизводство физического капитала. Особенно четко это может проявляться в том, что воздействие институционального капитала по поводу создания материальных благ может приводить к необратимым последствиям, например, в сфере экологического благополучия. В связи с этим можно предположить, что институциональное воздействие, направленное на создание благ</w:t>
      </w:r>
      <w:r w:rsidR="008611C6" w:rsidRPr="00BA321C">
        <w:rPr>
          <w:rFonts w:ascii="Times New Roman" w:hAnsi="Times New Roman"/>
          <w:sz w:val="28"/>
          <w:szCs w:val="28"/>
        </w:rPr>
        <w:t>,</w:t>
      </w:r>
      <w:r w:rsidRPr="00BA321C">
        <w:rPr>
          <w:rFonts w:ascii="Times New Roman" w:hAnsi="Times New Roman"/>
          <w:sz w:val="28"/>
          <w:szCs w:val="28"/>
        </w:rPr>
        <w:t xml:space="preserve"> обеспечивает не только прирост капитала, но и его отток (исчерпание). Таким образом, под институциональным капиталом необходимо понимать совокупность институтов, обеспечивающих основы рационального размещения и развития производительных сил в целях создания, накопления и воспроизводства физического и человеческого капталов в условиях ограниченных и исчерпывающихся природно-экологических и иных ресурсов</w:t>
      </w:r>
      <w:r w:rsidR="00871BB4" w:rsidRPr="00BA321C">
        <w:rPr>
          <w:rFonts w:ascii="Times New Roman" w:hAnsi="Times New Roman"/>
          <w:sz w:val="28"/>
          <w:szCs w:val="28"/>
        </w:rPr>
        <w:t>, при этом соответствующих прогрессирующим фазам технологических сдвигов</w:t>
      </w:r>
      <w:r w:rsidRPr="00BA321C">
        <w:rPr>
          <w:rFonts w:ascii="Times New Roman" w:hAnsi="Times New Roman"/>
          <w:sz w:val="28"/>
          <w:szCs w:val="28"/>
        </w:rPr>
        <w:t xml:space="preserve">.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Сегодня проблеме изучения размещения и развития производительных сил посвящено достаточно большое количество работ [17, 18, 19, 20, 21, 22 и т. д.]. Изучив их можно сформулировать ряд основных обобщенных принципов и закономерностей размещения производительных сил:</w:t>
      </w:r>
    </w:p>
    <w:p w:rsidR="007A7047" w:rsidRPr="00BA321C" w:rsidRDefault="007A7047" w:rsidP="00BA321C">
      <w:pPr>
        <w:pStyle w:val="a4"/>
        <w:numPr>
          <w:ilvl w:val="0"/>
          <w:numId w:val="40"/>
        </w:num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Размещение производственных мощностей путем приближения их к местам концентрации потребительского спроса на продукцию, а также к источникам сырья;</w:t>
      </w:r>
    </w:p>
    <w:p w:rsidR="007A7047" w:rsidRPr="00BA321C" w:rsidRDefault="007A7047" w:rsidP="00BA321C">
      <w:pPr>
        <w:pStyle w:val="a4"/>
        <w:numPr>
          <w:ilvl w:val="0"/>
          <w:numId w:val="40"/>
        </w:num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Размещение производства, обеспечивающее максимальный рост производительности труда;</w:t>
      </w:r>
    </w:p>
    <w:p w:rsidR="007A7047" w:rsidRPr="00BA321C" w:rsidRDefault="007A7047" w:rsidP="00BA321C">
      <w:pPr>
        <w:pStyle w:val="a4"/>
        <w:numPr>
          <w:ilvl w:val="0"/>
          <w:numId w:val="40"/>
        </w:num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Размещение производственных мощностей с учетом комплексного развития всех территорий, обеспечивая интересы всего общества (рациональная пространственная концентрация);</w:t>
      </w:r>
    </w:p>
    <w:p w:rsidR="007A7047" w:rsidRPr="00BA321C" w:rsidRDefault="007A7047" w:rsidP="00BA321C">
      <w:pPr>
        <w:pStyle w:val="a4"/>
        <w:shd w:val="clear" w:color="auto" w:fill="FFFFFF" w:themeFill="background1"/>
        <w:spacing w:after="0" w:line="360" w:lineRule="auto"/>
        <w:ind w:left="0" w:firstLine="709"/>
        <w:jc w:val="both"/>
        <w:rPr>
          <w:rFonts w:ascii="Times New Roman" w:hAnsi="Times New Roman"/>
          <w:sz w:val="28"/>
          <w:szCs w:val="28"/>
        </w:rPr>
      </w:pPr>
      <w:r w:rsidRPr="00BA321C">
        <w:rPr>
          <w:rFonts w:ascii="Times New Roman" w:hAnsi="Times New Roman"/>
          <w:sz w:val="28"/>
          <w:szCs w:val="28"/>
        </w:rPr>
        <w:t>Кроме того</w:t>
      </w:r>
      <w:r w:rsidR="00D05695" w:rsidRPr="00BA321C">
        <w:rPr>
          <w:rFonts w:ascii="Times New Roman" w:hAnsi="Times New Roman"/>
          <w:sz w:val="28"/>
          <w:szCs w:val="28"/>
        </w:rPr>
        <w:t>,</w:t>
      </w:r>
      <w:r w:rsidRPr="00BA321C">
        <w:rPr>
          <w:rFonts w:ascii="Times New Roman" w:hAnsi="Times New Roman"/>
          <w:sz w:val="28"/>
          <w:szCs w:val="28"/>
        </w:rPr>
        <w:t xml:space="preserve"> в указанном перечне работ рассматриваются и вопросы, связанные с противоречиями, которые возникали в различные исторические моменты времени, между развитием традиционных производительных сил и производственных отношений. Особенно ярко эти противоречия наблюдались в нашей стране в 80-е годы. Тогда, как отмечал А. Г. Аганбегян «Противоречие между развитием производительных сил и растущими потребностями общества, с одной стороны, и все более устарелыми производственными отношениями старой системы управления экономикой постепенно превратились в тормоз и препятствие экономическому и социальному развитию страны» [23].</w:t>
      </w:r>
    </w:p>
    <w:p w:rsidR="007A7047" w:rsidRPr="00BA321C" w:rsidRDefault="007A7047" w:rsidP="00BA321C">
      <w:pPr>
        <w:pStyle w:val="a4"/>
        <w:shd w:val="clear" w:color="auto" w:fill="FFFFFF" w:themeFill="background1"/>
        <w:spacing w:after="0" w:line="360" w:lineRule="auto"/>
        <w:ind w:left="0" w:firstLine="709"/>
        <w:jc w:val="both"/>
        <w:rPr>
          <w:rFonts w:ascii="Times New Roman" w:hAnsi="Times New Roman"/>
          <w:sz w:val="28"/>
          <w:szCs w:val="28"/>
        </w:rPr>
      </w:pPr>
      <w:r w:rsidRPr="00BA321C">
        <w:rPr>
          <w:rFonts w:ascii="Times New Roman" w:hAnsi="Times New Roman"/>
          <w:sz w:val="28"/>
          <w:szCs w:val="28"/>
        </w:rPr>
        <w:t xml:space="preserve">В современных условиях хозяйствования рассматриваемые противоречия не исчерпаны. Более того в ряде случаев они приобрели депрессивный характер. В первую очередь это относится к вопросу экстенсивного типа развития национальной экономики, вяло реагирующей на запросы государства, выраженные в стремлении перехода на инновационный сценарий развития. Многие институты предпринимательства в той или иной степени утратили заинтересованность в развитии инноваций. </w:t>
      </w:r>
    </w:p>
    <w:p w:rsidR="008611C6" w:rsidRPr="00BA321C" w:rsidRDefault="008611C6" w:rsidP="00BA321C">
      <w:pPr>
        <w:pStyle w:val="a4"/>
        <w:shd w:val="clear" w:color="auto" w:fill="FFFFFF" w:themeFill="background1"/>
        <w:spacing w:after="0" w:line="360" w:lineRule="auto"/>
        <w:ind w:left="0" w:firstLine="709"/>
        <w:jc w:val="both"/>
        <w:rPr>
          <w:rFonts w:ascii="Times New Roman" w:hAnsi="Times New Roman"/>
          <w:sz w:val="28"/>
          <w:szCs w:val="28"/>
        </w:rPr>
      </w:pPr>
      <w:r w:rsidRPr="00BA321C">
        <w:rPr>
          <w:rFonts w:ascii="Times New Roman" w:hAnsi="Times New Roman"/>
          <w:sz w:val="28"/>
          <w:szCs w:val="28"/>
        </w:rPr>
        <w:t xml:space="preserve">Вместе с тем накопившиеся структурные проблемы в российской экономике, а также ее отставание по ряду развития технологических направлений требуют </w:t>
      </w:r>
      <w:r w:rsidR="007E30C8" w:rsidRPr="00BA321C">
        <w:rPr>
          <w:rFonts w:ascii="Times New Roman" w:hAnsi="Times New Roman"/>
          <w:sz w:val="28"/>
          <w:szCs w:val="28"/>
        </w:rPr>
        <w:t xml:space="preserve">скорейшего </w:t>
      </w:r>
      <w:r w:rsidRPr="00BA321C">
        <w:rPr>
          <w:rFonts w:ascii="Times New Roman" w:hAnsi="Times New Roman"/>
          <w:sz w:val="28"/>
          <w:szCs w:val="28"/>
        </w:rPr>
        <w:t xml:space="preserve">решения. </w:t>
      </w:r>
      <w:r w:rsidR="007E30C8" w:rsidRPr="00BA321C">
        <w:rPr>
          <w:rFonts w:ascii="Times New Roman" w:hAnsi="Times New Roman"/>
          <w:sz w:val="28"/>
          <w:szCs w:val="28"/>
        </w:rPr>
        <w:t xml:space="preserve">В связи с этим на первый план выходит вопрос оценки перспектив и механизмов развития и размещения производительных сил с учетом имеющихся региональных особенностей. С одной стороны, решение данного вопроса может лежать в плоскости оптимизации ресурсных и инфраструктурных региональных потенциалов. Однако следует учитывать, что данный путь во многом ориентирован на экстенсивный тип экономического развития что ограничивает возможности своевременного перехода экономической системы на шестой технологический </w:t>
      </w:r>
      <w:r w:rsidR="007E30C8" w:rsidRPr="00BA321C">
        <w:rPr>
          <w:rFonts w:ascii="Times New Roman" w:hAnsi="Times New Roman"/>
          <w:sz w:val="28"/>
          <w:szCs w:val="28"/>
        </w:rPr>
        <w:lastRenderedPageBreak/>
        <w:t>уклад. С другой стороны – решение поставленного вопроса должно учитывать все многообразие факторов, определяющих инновационно-модернизационное смещение развития производительных сил в соответствии с формирующимися потребностями.</w:t>
      </w:r>
      <w:r w:rsidR="00887B3B" w:rsidRPr="00BA321C">
        <w:rPr>
          <w:rFonts w:ascii="Times New Roman" w:hAnsi="Times New Roman"/>
          <w:sz w:val="28"/>
          <w:szCs w:val="28"/>
        </w:rPr>
        <w:t xml:space="preserve"> Таким образом изучение концепции противоречия между развитием производительных сил и все более устарелыми производственными отношениями должн</w:t>
      </w:r>
      <w:r w:rsidR="00BE78A9" w:rsidRPr="00BA321C">
        <w:rPr>
          <w:rFonts w:ascii="Times New Roman" w:hAnsi="Times New Roman"/>
          <w:sz w:val="28"/>
          <w:szCs w:val="28"/>
        </w:rPr>
        <w:t>о</w:t>
      </w:r>
      <w:r w:rsidR="00887B3B" w:rsidRPr="00BA321C">
        <w:rPr>
          <w:rFonts w:ascii="Times New Roman" w:hAnsi="Times New Roman"/>
          <w:sz w:val="28"/>
          <w:szCs w:val="28"/>
        </w:rPr>
        <w:t xml:space="preserve"> </w:t>
      </w:r>
      <w:r w:rsidR="00BE78A9" w:rsidRPr="00BA321C">
        <w:rPr>
          <w:rFonts w:ascii="Times New Roman" w:hAnsi="Times New Roman"/>
          <w:sz w:val="28"/>
          <w:szCs w:val="28"/>
        </w:rPr>
        <w:t>формироваться через призму выявления механизмов, формирующих экономический, социальный и институциональный потенциалы территориальных систем. Именно последние, по всей видимости, и определяют тренды возникающих противоречий, ограничивающих или, наоборот, способствующих развитию производительных сил, соответствующих перспективным смещениями технологических укладов.</w:t>
      </w:r>
    </w:p>
    <w:p w:rsidR="00F60989" w:rsidRPr="00BA321C" w:rsidRDefault="00F60989" w:rsidP="00BA321C">
      <w:pPr>
        <w:pStyle w:val="a4"/>
        <w:shd w:val="clear" w:color="auto" w:fill="FFFFFF" w:themeFill="background1"/>
        <w:spacing w:after="0" w:line="360" w:lineRule="auto"/>
        <w:ind w:left="0" w:firstLine="709"/>
        <w:jc w:val="both"/>
        <w:rPr>
          <w:rFonts w:ascii="Times New Roman" w:hAnsi="Times New Roman"/>
          <w:sz w:val="28"/>
          <w:szCs w:val="28"/>
        </w:rPr>
      </w:pPr>
    </w:p>
    <w:p w:rsidR="007A7047" w:rsidRPr="00BA321C" w:rsidRDefault="007A7047" w:rsidP="00C35E98">
      <w:pPr>
        <w:pStyle w:val="3"/>
      </w:pPr>
      <w:bookmarkStart w:id="3" w:name="_Toc451869588"/>
      <w:r w:rsidRPr="00BA321C">
        <w:t>1.2 Методы управления организационно-экономическим развитием производительных сил в региональной экономике</w:t>
      </w:r>
      <w:bookmarkEnd w:id="3"/>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Управление организационно-экономическим развитием региональных систем являлось и является одним из главных дискуссионных вопросов в экономической теории. Экономическое развитие основыва</w:t>
      </w:r>
      <w:r w:rsidR="00434705" w:rsidRPr="00BA321C">
        <w:rPr>
          <w:rFonts w:ascii="Times New Roman" w:hAnsi="Times New Roman"/>
          <w:sz w:val="28"/>
          <w:szCs w:val="28"/>
        </w:rPr>
        <w:t>е</w:t>
      </w:r>
      <w:r w:rsidRPr="00BA321C">
        <w:rPr>
          <w:rFonts w:ascii="Times New Roman" w:hAnsi="Times New Roman"/>
          <w:sz w:val="28"/>
          <w:szCs w:val="28"/>
        </w:rPr>
        <w:t>тся и вместе с тем явля</w:t>
      </w:r>
      <w:r w:rsidR="00434705" w:rsidRPr="00BA321C">
        <w:rPr>
          <w:rFonts w:ascii="Times New Roman" w:hAnsi="Times New Roman"/>
          <w:sz w:val="28"/>
          <w:szCs w:val="28"/>
        </w:rPr>
        <w:t>е</w:t>
      </w:r>
      <w:r w:rsidRPr="00BA321C">
        <w:rPr>
          <w:rFonts w:ascii="Times New Roman" w:hAnsi="Times New Roman"/>
          <w:sz w:val="28"/>
          <w:szCs w:val="28"/>
        </w:rPr>
        <w:t>тся во многом обусловленными целым рядом факторов, характеризующих уровень конкурентоспособности территорий</w:t>
      </w:r>
      <w:r w:rsidR="00434705" w:rsidRPr="00BA321C">
        <w:rPr>
          <w:rFonts w:ascii="Times New Roman" w:hAnsi="Times New Roman"/>
          <w:sz w:val="28"/>
          <w:szCs w:val="28"/>
        </w:rPr>
        <w:t>.</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связи с этим изучение вопроса управления организационно-экономическим развитием производительных сил региона носит комплексный характер. Его исследование не должно ограничиваться сугубо количественными характеристиками измерения роста производства. Так, к примеру, Самуэльсон П. в своих трудах утверждал «нельзя стремится лишь к простому количественному росту производства (пусть даже в расчете на душу населения). Необходимо также внутреннее развитие всей социально-экономической структуры общества» [24]. Данное утверждение, на наш взгляд, является абсолютно справедливым. Особую актуальность ему придает то, что ориентация экономических взглядов на только лишь количественный рост может нести в себе целый ряд угроз, порождающих известные и крайне </w:t>
      </w:r>
      <w:r w:rsidRPr="00BA321C">
        <w:rPr>
          <w:rFonts w:ascii="Times New Roman" w:hAnsi="Times New Roman"/>
          <w:sz w:val="28"/>
          <w:szCs w:val="28"/>
        </w:rPr>
        <w:lastRenderedPageBreak/>
        <w:t xml:space="preserve">актуальные для сегодняшнего времени риски: экологические, социальные, сырьевые и др. Таким образом, в основе изучения форм, методов и инструментов управления организационно-экономическим развитием производительных сил региона должны выступать принципы всеобъемлемости, системности, комплексности. Именно они позволяют осуществлять всестороннюю оценку социально-экономической эффективности размещения производительных сил с учетом факторов минимизации социальных, энергетических, сырьевых и других глобальных рисков развития территориальных образований.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в рамках существующих экономических теорий регионального развития акценты ставятся, преимущественно, на изучение экономического роста. Особую актуальность это получает в практико-ориентированных мерах государственной политики. Объяснить это можно тем, что с одной стороны, экономический рост гораздо проще поддается количественному измерению, что во многом может упрощать теоретические и практико-ориентированные исследования. С другой – по всей видимости, более справедливо и статистически проще и восприимчивее оценивать экономическую дифференциацию регионов с позиций экономического роста, а не экономического развития. В связи с этим некоторые теории экономического роста являются во многом ограниченными и не могут отвечать и соответствовать современным условиям хозяйствования.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конечно же, экономический рост и экономическое развитие являются разными понятиями. Однако, ряд исследователей часто их отождествляют, тем самым изначально «сужая» проблему исследования. </w:t>
      </w:r>
    </w:p>
    <w:p w:rsidR="00792A6B" w:rsidRPr="00BA321C" w:rsidRDefault="00777087" w:rsidP="00BA321C">
      <w:pPr>
        <w:shd w:val="clear" w:color="auto" w:fill="FFFFFF" w:themeFill="background1"/>
        <w:spacing w:after="0" w:line="360" w:lineRule="auto"/>
        <w:ind w:firstLine="851"/>
        <w:jc w:val="both"/>
        <w:rPr>
          <w:rFonts w:ascii="Times New Roman" w:hAnsi="Times New Roman"/>
          <w:sz w:val="28"/>
        </w:rPr>
      </w:pPr>
      <w:r w:rsidRPr="00BA321C">
        <w:rPr>
          <w:rFonts w:ascii="Times New Roman" w:hAnsi="Times New Roman"/>
          <w:sz w:val="28"/>
        </w:rPr>
        <w:t xml:space="preserve">Под экономическим ростом следует понимать итоговые изменения значений индикаторов, характеризующих макроэкономические сдвиги. При этом он может формироваться как при наличии динамических трансформаций качественных параметров экономической системы, так и в условиях полной их статичности или даже регресса. </w:t>
      </w:r>
      <w:r w:rsidR="00792A6B" w:rsidRPr="00BA321C">
        <w:rPr>
          <w:rFonts w:ascii="Times New Roman" w:hAnsi="Times New Roman"/>
          <w:sz w:val="28"/>
        </w:rPr>
        <w:t xml:space="preserve">В то же время экономическое развитие отражает все многообразие действующих и перспективных потенциалов </w:t>
      </w:r>
      <w:r w:rsidR="00792A6B" w:rsidRPr="00BA321C">
        <w:rPr>
          <w:rFonts w:ascii="Times New Roman" w:hAnsi="Times New Roman"/>
          <w:sz w:val="28"/>
        </w:rPr>
        <w:lastRenderedPageBreak/>
        <w:t xml:space="preserve">экономической системы, формирующихся на основе развития качественных и количественных параметров социально-экономической среды. </w:t>
      </w:r>
    </w:p>
    <w:p w:rsidR="00777087" w:rsidRPr="00BA321C" w:rsidRDefault="00777087" w:rsidP="00BA321C">
      <w:pPr>
        <w:shd w:val="clear" w:color="auto" w:fill="FFFFFF" w:themeFill="background1"/>
        <w:spacing w:after="0" w:line="360" w:lineRule="auto"/>
        <w:ind w:firstLine="851"/>
        <w:jc w:val="both"/>
        <w:rPr>
          <w:rFonts w:ascii="Times New Roman" w:hAnsi="Times New Roman"/>
          <w:sz w:val="28"/>
        </w:rPr>
      </w:pPr>
      <w:r w:rsidRPr="00BA321C">
        <w:rPr>
          <w:rFonts w:ascii="Times New Roman" w:hAnsi="Times New Roman"/>
          <w:sz w:val="28"/>
        </w:rPr>
        <w:t>Концепция взаимосвязи экономического роста и экономического развития представлена в таблице</w:t>
      </w:r>
      <w:r w:rsidR="004C0B35" w:rsidRPr="00BA321C">
        <w:rPr>
          <w:rFonts w:ascii="Times New Roman" w:hAnsi="Times New Roman"/>
          <w:sz w:val="28"/>
        </w:rPr>
        <w:t xml:space="preserve"> 1.2.1</w:t>
      </w:r>
      <w:r w:rsidRPr="00BA321C">
        <w:rPr>
          <w:rFonts w:ascii="Times New Roman" w:hAnsi="Times New Roman"/>
          <w:sz w:val="28"/>
        </w:rPr>
        <w:t>.</w:t>
      </w:r>
    </w:p>
    <w:p w:rsidR="00777087" w:rsidRPr="00BA321C" w:rsidRDefault="00777087" w:rsidP="00BA321C">
      <w:pPr>
        <w:shd w:val="clear" w:color="auto" w:fill="FFFFFF" w:themeFill="background1"/>
        <w:jc w:val="both"/>
        <w:rPr>
          <w:rFonts w:ascii="Times New Roman" w:hAnsi="Times New Roman"/>
          <w:sz w:val="28"/>
        </w:rPr>
      </w:pPr>
      <w:r w:rsidRPr="00BA321C">
        <w:rPr>
          <w:rFonts w:ascii="Times New Roman" w:hAnsi="Times New Roman"/>
          <w:sz w:val="28"/>
        </w:rPr>
        <w:t>Таблица</w:t>
      </w:r>
      <w:r w:rsidR="004C0B35" w:rsidRPr="00BA321C">
        <w:rPr>
          <w:rFonts w:ascii="Times New Roman" w:hAnsi="Times New Roman"/>
          <w:sz w:val="28"/>
        </w:rPr>
        <w:t xml:space="preserve"> 1.2.1</w:t>
      </w:r>
      <w:r w:rsidRPr="00BA321C">
        <w:rPr>
          <w:rFonts w:ascii="Times New Roman" w:hAnsi="Times New Roman"/>
          <w:sz w:val="28"/>
        </w:rPr>
        <w:t xml:space="preserve"> - Взаимосвязь экономического роста и экономического развития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5"/>
        <w:gridCol w:w="3115"/>
        <w:gridCol w:w="3115"/>
      </w:tblGrid>
      <w:tr w:rsidR="00F63C0D" w:rsidRPr="00BA321C" w:rsidTr="00932970">
        <w:tc>
          <w:tcPr>
            <w:tcW w:w="3115" w:type="dxa"/>
            <w:tcBorders>
              <w:tl2br w:val="single" w:sz="4" w:space="0" w:color="auto"/>
            </w:tcBorders>
            <w:shd w:val="clear" w:color="auto" w:fill="auto"/>
          </w:tcPr>
          <w:p w:rsidR="00777087" w:rsidRPr="00BA321C" w:rsidRDefault="00777087" w:rsidP="00BA321C">
            <w:pPr>
              <w:shd w:val="clear" w:color="auto" w:fill="FFFFFF" w:themeFill="background1"/>
              <w:spacing w:after="0"/>
              <w:jc w:val="both"/>
              <w:rPr>
                <w:rFonts w:ascii="Times New Roman" w:hAnsi="Times New Roman"/>
                <w:sz w:val="24"/>
              </w:rPr>
            </w:pPr>
            <w:r w:rsidRPr="00BA321C">
              <w:rPr>
                <w:rFonts w:ascii="Times New Roman" w:hAnsi="Times New Roman"/>
                <w:sz w:val="24"/>
              </w:rPr>
              <w:t xml:space="preserve">           Экономический  </w:t>
            </w:r>
          </w:p>
          <w:p w:rsidR="00777087" w:rsidRPr="00BA321C" w:rsidRDefault="00777087" w:rsidP="00BA321C">
            <w:pPr>
              <w:shd w:val="clear" w:color="auto" w:fill="FFFFFF" w:themeFill="background1"/>
              <w:spacing w:after="0"/>
              <w:jc w:val="both"/>
              <w:rPr>
                <w:rFonts w:ascii="Times New Roman" w:hAnsi="Times New Roman"/>
                <w:sz w:val="24"/>
              </w:rPr>
            </w:pPr>
            <w:r w:rsidRPr="00BA321C">
              <w:rPr>
                <w:rFonts w:ascii="Times New Roman" w:hAnsi="Times New Roman"/>
                <w:sz w:val="24"/>
              </w:rPr>
              <w:t xml:space="preserve">                              рост</w:t>
            </w:r>
          </w:p>
          <w:p w:rsidR="00777087" w:rsidRPr="00BA321C" w:rsidRDefault="00777087" w:rsidP="00BA321C">
            <w:pPr>
              <w:shd w:val="clear" w:color="auto" w:fill="FFFFFF" w:themeFill="background1"/>
              <w:jc w:val="both"/>
              <w:rPr>
                <w:rFonts w:ascii="Times New Roman" w:hAnsi="Times New Roman"/>
                <w:sz w:val="24"/>
              </w:rPr>
            </w:pPr>
          </w:p>
          <w:p w:rsidR="00777087" w:rsidRPr="00BA321C" w:rsidRDefault="00777087" w:rsidP="00BA321C">
            <w:pPr>
              <w:shd w:val="clear" w:color="auto" w:fill="FFFFFF" w:themeFill="background1"/>
              <w:spacing w:after="0"/>
              <w:jc w:val="both"/>
              <w:rPr>
                <w:rFonts w:ascii="Times New Roman" w:hAnsi="Times New Roman"/>
                <w:sz w:val="24"/>
              </w:rPr>
            </w:pPr>
            <w:r w:rsidRPr="00BA321C">
              <w:rPr>
                <w:rFonts w:ascii="Times New Roman" w:hAnsi="Times New Roman"/>
                <w:sz w:val="24"/>
              </w:rPr>
              <w:t>Экономическое</w:t>
            </w:r>
          </w:p>
          <w:p w:rsidR="00777087" w:rsidRPr="00BA321C" w:rsidRDefault="00777087" w:rsidP="00BA321C">
            <w:pPr>
              <w:shd w:val="clear" w:color="auto" w:fill="FFFFFF" w:themeFill="background1"/>
              <w:spacing w:after="0"/>
              <w:jc w:val="both"/>
              <w:rPr>
                <w:rFonts w:ascii="Times New Roman" w:hAnsi="Times New Roman"/>
                <w:sz w:val="24"/>
              </w:rPr>
            </w:pPr>
            <w:r w:rsidRPr="00BA321C">
              <w:rPr>
                <w:rFonts w:ascii="Times New Roman" w:hAnsi="Times New Roman"/>
                <w:sz w:val="24"/>
              </w:rPr>
              <w:t>развитие</w:t>
            </w:r>
          </w:p>
          <w:p w:rsidR="00777087" w:rsidRPr="00BA321C" w:rsidRDefault="00777087" w:rsidP="00BA321C">
            <w:pPr>
              <w:shd w:val="clear" w:color="auto" w:fill="FFFFFF" w:themeFill="background1"/>
              <w:jc w:val="both"/>
              <w:rPr>
                <w:rFonts w:ascii="Times New Roman" w:hAnsi="Times New Roman"/>
                <w:sz w:val="24"/>
              </w:rPr>
            </w:pPr>
          </w:p>
        </w:tc>
        <w:tc>
          <w:tcPr>
            <w:tcW w:w="3115" w:type="dxa"/>
            <w:shd w:val="clear" w:color="auto" w:fill="auto"/>
          </w:tcPr>
          <w:p w:rsidR="00777087" w:rsidRPr="00BA321C" w:rsidRDefault="00777087" w:rsidP="00BA321C">
            <w:pPr>
              <w:shd w:val="clear" w:color="auto" w:fill="FFFFFF" w:themeFill="background1"/>
              <w:jc w:val="center"/>
              <w:rPr>
                <w:rFonts w:ascii="Times New Roman" w:hAnsi="Times New Roman"/>
                <w:sz w:val="24"/>
              </w:rPr>
            </w:pPr>
            <w:r w:rsidRPr="00BA321C">
              <w:rPr>
                <w:rFonts w:ascii="Times New Roman" w:hAnsi="Times New Roman"/>
                <w:sz w:val="24"/>
              </w:rPr>
              <w:t>Положительный</w:t>
            </w:r>
          </w:p>
        </w:tc>
        <w:tc>
          <w:tcPr>
            <w:tcW w:w="3115" w:type="dxa"/>
            <w:shd w:val="clear" w:color="auto" w:fill="auto"/>
          </w:tcPr>
          <w:p w:rsidR="00777087" w:rsidRPr="00BA321C" w:rsidRDefault="00777087" w:rsidP="00BA321C">
            <w:pPr>
              <w:shd w:val="clear" w:color="auto" w:fill="FFFFFF" w:themeFill="background1"/>
              <w:jc w:val="center"/>
              <w:rPr>
                <w:rFonts w:ascii="Times New Roman" w:hAnsi="Times New Roman"/>
                <w:sz w:val="24"/>
              </w:rPr>
            </w:pPr>
            <w:r w:rsidRPr="00BA321C">
              <w:rPr>
                <w:rFonts w:ascii="Times New Roman" w:hAnsi="Times New Roman"/>
                <w:sz w:val="24"/>
              </w:rPr>
              <w:t>Отрицательный</w:t>
            </w:r>
          </w:p>
        </w:tc>
      </w:tr>
      <w:tr w:rsidR="00F63C0D" w:rsidRPr="00BA321C" w:rsidTr="00932970">
        <w:tc>
          <w:tcPr>
            <w:tcW w:w="3115" w:type="dxa"/>
            <w:shd w:val="clear" w:color="auto" w:fill="auto"/>
          </w:tcPr>
          <w:p w:rsidR="00777087" w:rsidRPr="00BA321C" w:rsidRDefault="00777087" w:rsidP="00BA321C">
            <w:pPr>
              <w:shd w:val="clear" w:color="auto" w:fill="FFFFFF" w:themeFill="background1"/>
              <w:jc w:val="center"/>
              <w:rPr>
                <w:rFonts w:ascii="Times New Roman" w:hAnsi="Times New Roman"/>
                <w:sz w:val="24"/>
              </w:rPr>
            </w:pPr>
            <w:r w:rsidRPr="00BA321C">
              <w:rPr>
                <w:rFonts w:ascii="Times New Roman" w:hAnsi="Times New Roman"/>
                <w:sz w:val="24"/>
              </w:rPr>
              <w:t>Интенсивное</w:t>
            </w:r>
          </w:p>
        </w:tc>
        <w:tc>
          <w:tcPr>
            <w:tcW w:w="3115" w:type="dxa"/>
            <w:shd w:val="clear" w:color="auto" w:fill="auto"/>
          </w:tcPr>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Рост производительности труда, инновационный тип экономического роста, обусловленный технологическими сдвигами в структуре производительных сил (инновационная экономика)</w:t>
            </w:r>
          </w:p>
        </w:tc>
        <w:tc>
          <w:tcPr>
            <w:tcW w:w="3115" w:type="dxa"/>
            <w:shd w:val="clear" w:color="auto" w:fill="auto"/>
          </w:tcPr>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Структурные сдвиги технологически сопряженных производств на фоне слабо развитых рынков и механизмов, генерирующих трансформационные процессы</w:t>
            </w:r>
          </w:p>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(модернизационно-трансформирующаяся экономика)</w:t>
            </w:r>
          </w:p>
        </w:tc>
      </w:tr>
      <w:tr w:rsidR="00F63C0D" w:rsidRPr="00BA321C" w:rsidTr="00932970">
        <w:tc>
          <w:tcPr>
            <w:tcW w:w="3115" w:type="dxa"/>
            <w:shd w:val="clear" w:color="auto" w:fill="auto"/>
          </w:tcPr>
          <w:p w:rsidR="00777087" w:rsidRPr="00BA321C" w:rsidRDefault="00777087" w:rsidP="00BA321C">
            <w:pPr>
              <w:shd w:val="clear" w:color="auto" w:fill="FFFFFF" w:themeFill="background1"/>
              <w:jc w:val="center"/>
              <w:rPr>
                <w:rFonts w:ascii="Times New Roman" w:hAnsi="Times New Roman"/>
                <w:sz w:val="24"/>
              </w:rPr>
            </w:pPr>
            <w:r w:rsidRPr="00BA321C">
              <w:rPr>
                <w:rFonts w:ascii="Times New Roman" w:hAnsi="Times New Roman"/>
                <w:sz w:val="24"/>
              </w:rPr>
              <w:t>Экстенсивное</w:t>
            </w:r>
          </w:p>
        </w:tc>
        <w:tc>
          <w:tcPr>
            <w:tcW w:w="3115" w:type="dxa"/>
            <w:shd w:val="clear" w:color="auto" w:fill="auto"/>
          </w:tcPr>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Статичность технологического развития и модернизации производительных сил на фоне роста количественной загрузки средств производства (инерционная экономика)</w:t>
            </w:r>
          </w:p>
        </w:tc>
        <w:tc>
          <w:tcPr>
            <w:tcW w:w="3115" w:type="dxa"/>
            <w:shd w:val="clear" w:color="auto" w:fill="auto"/>
          </w:tcPr>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Сокращение производства на фоне падения качественных характеристик производительных сил</w:t>
            </w:r>
          </w:p>
          <w:p w:rsidR="00777087" w:rsidRPr="00BA321C" w:rsidRDefault="00777087" w:rsidP="00BA321C">
            <w:pPr>
              <w:shd w:val="clear" w:color="auto" w:fill="FFFFFF" w:themeFill="background1"/>
              <w:jc w:val="both"/>
              <w:rPr>
                <w:rFonts w:ascii="Times New Roman" w:hAnsi="Times New Roman"/>
                <w:sz w:val="24"/>
              </w:rPr>
            </w:pPr>
            <w:r w:rsidRPr="00BA321C">
              <w:rPr>
                <w:rFonts w:ascii="Times New Roman" w:hAnsi="Times New Roman"/>
                <w:sz w:val="24"/>
              </w:rPr>
              <w:t>(переходно-кризисная экономика)</w:t>
            </w:r>
          </w:p>
        </w:tc>
      </w:tr>
    </w:tbl>
    <w:p w:rsidR="00777087" w:rsidRPr="00BA321C" w:rsidRDefault="00777087" w:rsidP="00BA321C">
      <w:pPr>
        <w:shd w:val="clear" w:color="auto" w:fill="FFFFFF" w:themeFill="background1"/>
        <w:spacing w:after="0" w:line="360" w:lineRule="auto"/>
        <w:ind w:firstLine="851"/>
        <w:jc w:val="both"/>
        <w:rPr>
          <w:rFonts w:ascii="Times New Roman" w:hAnsi="Times New Roman"/>
          <w:sz w:val="28"/>
        </w:rPr>
      </w:pPr>
      <w:r w:rsidRPr="00BA321C">
        <w:rPr>
          <w:rFonts w:ascii="Times New Roman" w:hAnsi="Times New Roman"/>
          <w:sz w:val="28"/>
        </w:rPr>
        <w:t xml:space="preserve">Вопросы организации и обоснования развития и размещения региональных производительных сил не должны ограничиваться сугубо оценкой макроэкономических индикаторов экономического роста. Это связано, в первую очередь, с тем, что производительные силы, выступая в качестве базисной основы региональных параметров развития, достаточно чутко реагируют на происходящие трансформации институциональных </w:t>
      </w:r>
      <w:r w:rsidRPr="00BA321C">
        <w:rPr>
          <w:rFonts w:ascii="Times New Roman" w:hAnsi="Times New Roman"/>
          <w:sz w:val="28"/>
        </w:rPr>
        <w:lastRenderedPageBreak/>
        <w:t xml:space="preserve">региональных факторов, формирующих макроэкономические генерации. Таким образом изучение природы и познание парадигмы организационно-экономического развития производительных сил не должны ограничиваться оценкой и анализом показателей результативности экономического роста. Данный вопрос является более многомерным и должен включать в себя изучение институциональных генераций, определяющих тренды экономического развития регионов. Иными словами, поиск ответов на поставленный вопрос должен осуществляться через призму определения логики развития институциональных факторов. Таким образом, на наш взгляд, изучение организационно-экономического обоснования развития и размещения производительных сил должно осуществляться в русле теории экономического развития, а не экономического роста, определяя тем самым, соответствующий понятийный и методологический аппараты. </w:t>
      </w:r>
    </w:p>
    <w:p w:rsidR="00777087" w:rsidRPr="00BA321C" w:rsidRDefault="00777087" w:rsidP="00BA321C">
      <w:pPr>
        <w:shd w:val="clear" w:color="auto" w:fill="FFFFFF" w:themeFill="background1"/>
        <w:spacing w:after="0" w:line="360" w:lineRule="auto"/>
        <w:ind w:firstLine="851"/>
        <w:jc w:val="both"/>
        <w:rPr>
          <w:rFonts w:ascii="Times New Roman" w:hAnsi="Times New Roman"/>
          <w:sz w:val="28"/>
        </w:rPr>
      </w:pPr>
      <w:r w:rsidRPr="00BA321C">
        <w:rPr>
          <w:rFonts w:ascii="Times New Roman" w:hAnsi="Times New Roman"/>
          <w:sz w:val="28"/>
        </w:rPr>
        <w:t>Вместе с тем существующие теории экономического роста, по сути, оперируют именно категориями и параметрами экономического развития, включая в себя обзор и анализ факторов (в том числе и институциональных), определяющих тренды экономического роста. Тем самым использование в настоящей диссертационной работе существующих теорий экономического роста не противоречат основной логике исследования, основывающейся на познании многомерного анализа институциональных факторов, предопределяющих эффективность, обоснованность и перспективы развития и размещения региональных производительных сил (то есть теории экономического развития). Данный подход определяет в дальнейшем использование соответствующего методологического аппарата, основанного на комплексном и системном анализе факторов, характеризующих тренды экономического развития и, соответственно, экономического роста региональных систем.</w:t>
      </w:r>
    </w:p>
    <w:p w:rsidR="003D2003" w:rsidRPr="00BA321C" w:rsidRDefault="003D2003" w:rsidP="00BA321C">
      <w:pPr>
        <w:shd w:val="clear" w:color="auto" w:fill="FFFFFF" w:themeFill="background1"/>
        <w:spacing w:after="0" w:line="360" w:lineRule="auto"/>
        <w:ind w:firstLine="851"/>
        <w:jc w:val="both"/>
        <w:rPr>
          <w:rFonts w:ascii="Times New Roman" w:hAnsi="Times New Roman"/>
          <w:sz w:val="28"/>
        </w:rPr>
      </w:pPr>
      <w:r w:rsidRPr="00BA321C">
        <w:rPr>
          <w:rFonts w:ascii="Times New Roman" w:hAnsi="Times New Roman"/>
          <w:sz w:val="28"/>
        </w:rPr>
        <w:t xml:space="preserve">Иными словами, в основе концепции перспектив и обоснования размещения региональных производительных сил лежит подход, основывающийся на парадигме развития, а не роста. </w:t>
      </w:r>
      <w:r w:rsidR="00625952" w:rsidRPr="00BA321C">
        <w:rPr>
          <w:rFonts w:ascii="Times New Roman" w:hAnsi="Times New Roman"/>
          <w:sz w:val="28"/>
        </w:rPr>
        <w:t xml:space="preserve">Вместе с тем </w:t>
      </w:r>
      <w:r w:rsidR="00625952" w:rsidRPr="00BA321C">
        <w:rPr>
          <w:rFonts w:ascii="Times New Roman" w:hAnsi="Times New Roman"/>
          <w:sz w:val="28"/>
        </w:rPr>
        <w:lastRenderedPageBreak/>
        <w:t xml:space="preserve">эффективность данного подхода будет выражаться через </w:t>
      </w:r>
      <w:r w:rsidRPr="00BA321C">
        <w:rPr>
          <w:rFonts w:ascii="Times New Roman" w:hAnsi="Times New Roman"/>
          <w:sz w:val="28"/>
        </w:rPr>
        <w:t>сопоставлени</w:t>
      </w:r>
      <w:r w:rsidR="00625952" w:rsidRPr="00BA321C">
        <w:rPr>
          <w:rFonts w:ascii="Times New Roman" w:hAnsi="Times New Roman"/>
          <w:sz w:val="28"/>
        </w:rPr>
        <w:t>е</w:t>
      </w:r>
      <w:r w:rsidRPr="00BA321C">
        <w:rPr>
          <w:rFonts w:ascii="Times New Roman" w:hAnsi="Times New Roman"/>
          <w:sz w:val="28"/>
        </w:rPr>
        <w:t xml:space="preserve"> значений разработанного </w:t>
      </w:r>
      <w:r w:rsidR="00792A6B" w:rsidRPr="00BA321C">
        <w:rPr>
          <w:rFonts w:ascii="Times New Roman" w:hAnsi="Times New Roman"/>
          <w:sz w:val="28"/>
        </w:rPr>
        <w:t>интегрального</w:t>
      </w:r>
      <w:r w:rsidRPr="00BA321C">
        <w:rPr>
          <w:rFonts w:ascii="Times New Roman" w:hAnsi="Times New Roman"/>
          <w:sz w:val="28"/>
        </w:rPr>
        <w:t xml:space="preserve"> рейтинга </w:t>
      </w:r>
      <w:r w:rsidR="00625952" w:rsidRPr="00BA321C">
        <w:rPr>
          <w:rFonts w:ascii="Times New Roman" w:hAnsi="Times New Roman"/>
          <w:sz w:val="28"/>
        </w:rPr>
        <w:t xml:space="preserve">целесообразности размещения и развития региональных производительных сил </w:t>
      </w:r>
      <w:r w:rsidRPr="00BA321C">
        <w:rPr>
          <w:rFonts w:ascii="Times New Roman" w:hAnsi="Times New Roman"/>
          <w:sz w:val="28"/>
        </w:rPr>
        <w:t>с показателями</w:t>
      </w:r>
      <w:r w:rsidR="00625952" w:rsidRPr="00BA321C">
        <w:rPr>
          <w:rFonts w:ascii="Times New Roman" w:hAnsi="Times New Roman"/>
          <w:sz w:val="28"/>
        </w:rPr>
        <w:t>,</w:t>
      </w:r>
      <w:r w:rsidRPr="00BA321C">
        <w:rPr>
          <w:rFonts w:ascii="Times New Roman" w:hAnsi="Times New Roman"/>
          <w:sz w:val="28"/>
        </w:rPr>
        <w:t xml:space="preserve"> </w:t>
      </w:r>
      <w:r w:rsidR="00625952" w:rsidRPr="00BA321C">
        <w:rPr>
          <w:rFonts w:ascii="Times New Roman" w:hAnsi="Times New Roman"/>
          <w:sz w:val="28"/>
        </w:rPr>
        <w:t>х</w:t>
      </w:r>
      <w:r w:rsidRPr="00BA321C">
        <w:rPr>
          <w:rFonts w:ascii="Times New Roman" w:hAnsi="Times New Roman"/>
          <w:sz w:val="28"/>
        </w:rPr>
        <w:t xml:space="preserve">арактеризующими </w:t>
      </w:r>
      <w:r w:rsidR="00625952" w:rsidRPr="00BA321C">
        <w:rPr>
          <w:rFonts w:ascii="Times New Roman" w:hAnsi="Times New Roman"/>
          <w:sz w:val="28"/>
        </w:rPr>
        <w:t>экономический рост, как ключевого индикатора всех преобразований.</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Обращаясь к теориям регионального роста можно осуществить их деление на две основные группы: неоклассические теории и теории кумулятивного роста. Если теории неоклассиков основывались, преимущественно, на традиционных производственных функциях, то теории кумулятивного роста опирались на синтез институциональных и неокейнсианских взглядов.</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основе изучения регионального экономического роста представителями неоклассической школы лежало представление о наличии целого ряда факторов, определяющих потенциал регионов. Регионы рассматривались в тесной взаимосвязи и взаимозависимости между собой. При этом данная взаимосвязь объяснялась наличием рынка факторов, характеризующихся принципом мобильности. В связи с этим в долгосрочной перспективе различия в динамике роста экономики регионов становятся несущественными или могут полностью исчезать. Любые отклонения в равномерном развитии экономических систем регионов являются случайными и временными и объясняются воздействием экзогенных факторов.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Относительно неоклассической школы необходимо заметить то, что они подвергались критике в виду недостаточного рассмотрения особенностей регионального развития. В основном теории экономического </w:t>
      </w:r>
      <w:r w:rsidR="00F63C0D" w:rsidRPr="00BA321C">
        <w:rPr>
          <w:rFonts w:ascii="Times New Roman" w:hAnsi="Times New Roman"/>
          <w:sz w:val="28"/>
          <w:szCs w:val="28"/>
        </w:rPr>
        <w:t>роста</w:t>
      </w:r>
      <w:r w:rsidRPr="00BA321C">
        <w:rPr>
          <w:rFonts w:ascii="Times New Roman" w:hAnsi="Times New Roman"/>
          <w:sz w:val="28"/>
          <w:szCs w:val="28"/>
        </w:rPr>
        <w:t xml:space="preserve"> регионов основывались на модели, характеризующие динамику общенационального экономического роста. Вместе с тем, несмотря на отмеченную особенность неоклассических моделей, ее представители признавали необходимость не только динамического развития, но и пространственного. Так, основоположник неоклассической школы А. Маршалл в своей книге «Принципы экономики» писал о большой необходимости изучения </w:t>
      </w:r>
      <w:r w:rsidRPr="00BA321C">
        <w:rPr>
          <w:rFonts w:ascii="Times New Roman" w:hAnsi="Times New Roman"/>
          <w:sz w:val="28"/>
          <w:szCs w:val="28"/>
        </w:rPr>
        <w:lastRenderedPageBreak/>
        <w:t>территориальных аспектов [25], но в то же время, несмотря на свою склонность к математическому моделированию экономических теорий, признавал всю сложность математического учета территориальных аспектов в процессе изучения регионального экономического роста. Несмотря на это, Альфредом Маршаллом была создана концепция «внешней экономии», позднее заложившая основы изучения теории регионального роста. Сущность ее заключалась в выявлении так называемой нерыночной взаимозависимости между организациями. «Внешняя экономия имеет место всякий раз, когда производственная функция одной фирмы содержит переменные, которые являются не физическими вложениями, а побочными эффектами деятельности других фирм» [25]. Тем самым, по сути А. Маршалл указывает на наличие особой стоимости местоположения предприятий, что, по сути, явилось в более поздних неоклассических теориях фундаментальным базисом для изучения теорий регионального роста. При этом необходимо также отметить и то, что представители неоклассической школы при изучении региональной экономики опирались и на производственные функции, учитывающие целый ряд производственных факторов, оказывающих воздействие на характер и динамику экономического роста территорий. В основе производственных факторов, определяющих региональный рост лежали как традиционные факторы производства, так и географические, социальные, политические, инфраструктурные. Причем, как уже ранее упоминалось, в виду высокой мобильности данных факторов в долгосрочной перспективе развития темпы роста экономики регионов сглаживаются.</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Точки зрения о равномерном развитии регионов придерживалось абсолютное большинство представителей неоклассического направления регионального роста. Яркими представителями которой являлись Д. Бортс, Р. Солоу, Х.Зиберт., Г.Мэнкью, Р.Барро, Мартин, Ч.Джонс и Р.Холла.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попытки выявить различия в темпах экономического роста предпринимались. Впервые такая попытка была осуществлена Д. Бортсом на базе изучения в различиях и дифференциации производственных факторов, </w:t>
      </w:r>
      <w:r w:rsidRPr="00BA321C">
        <w:rPr>
          <w:rFonts w:ascii="Times New Roman" w:hAnsi="Times New Roman"/>
          <w:sz w:val="28"/>
          <w:szCs w:val="28"/>
        </w:rPr>
        <w:lastRenderedPageBreak/>
        <w:t xml:space="preserve">принадлежащим регионам. Однако, в виду того, что он придерживался точки зрения о высокой межрегиональной мобильности факторов производства выравнивание экономического </w:t>
      </w:r>
      <w:r w:rsidR="00F63C0D" w:rsidRPr="00BA321C">
        <w:rPr>
          <w:rFonts w:ascii="Times New Roman" w:hAnsi="Times New Roman"/>
          <w:sz w:val="28"/>
          <w:szCs w:val="28"/>
        </w:rPr>
        <w:t>роста</w:t>
      </w:r>
      <w:r w:rsidRPr="00BA321C">
        <w:rPr>
          <w:rFonts w:ascii="Times New Roman" w:hAnsi="Times New Roman"/>
          <w:sz w:val="28"/>
          <w:szCs w:val="28"/>
        </w:rPr>
        <w:t xml:space="preserve"> становилось</w:t>
      </w:r>
      <w:r w:rsidR="00477E46" w:rsidRPr="00BA321C">
        <w:rPr>
          <w:rFonts w:ascii="Times New Roman" w:hAnsi="Times New Roman"/>
          <w:sz w:val="28"/>
          <w:szCs w:val="28"/>
        </w:rPr>
        <w:t>,</w:t>
      </w:r>
      <w:r w:rsidRPr="00BA321C">
        <w:rPr>
          <w:rFonts w:ascii="Times New Roman" w:hAnsi="Times New Roman"/>
          <w:sz w:val="28"/>
          <w:szCs w:val="28"/>
        </w:rPr>
        <w:t xml:space="preserve"> по его мнению</w:t>
      </w:r>
      <w:r w:rsidR="00477E46" w:rsidRPr="00BA321C">
        <w:rPr>
          <w:rFonts w:ascii="Times New Roman" w:hAnsi="Times New Roman"/>
          <w:sz w:val="28"/>
          <w:szCs w:val="28"/>
        </w:rPr>
        <w:t>,</w:t>
      </w:r>
      <w:r w:rsidRPr="00BA321C">
        <w:rPr>
          <w:rFonts w:ascii="Times New Roman" w:hAnsi="Times New Roman"/>
          <w:sz w:val="28"/>
          <w:szCs w:val="28"/>
        </w:rPr>
        <w:t xml:space="preserve"> неизбежным [26].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Аналогичной точки зрения придерживался Р. Солоу. В своей модели экономического роста он выделяет такие факторы </w:t>
      </w:r>
      <w:r w:rsidR="00F63C0D" w:rsidRPr="00BA321C">
        <w:rPr>
          <w:rFonts w:ascii="Times New Roman" w:hAnsi="Times New Roman"/>
          <w:sz w:val="28"/>
          <w:szCs w:val="28"/>
        </w:rPr>
        <w:t xml:space="preserve">развития </w:t>
      </w:r>
      <w:r w:rsidRPr="00BA321C">
        <w:rPr>
          <w:rFonts w:ascii="Times New Roman" w:hAnsi="Times New Roman"/>
          <w:sz w:val="28"/>
          <w:szCs w:val="28"/>
        </w:rPr>
        <w:t>производства, как темпы роста населения, динамика научно-технического прогресса, сбережения населения, норма накопления основного капитала, а также человеческий и физический капитал. При этом в модели изначально закладывается равенство данных факторов в регионах. Кроме того</w:t>
      </w:r>
      <w:r w:rsidR="00477E46" w:rsidRPr="00BA321C">
        <w:rPr>
          <w:rFonts w:ascii="Times New Roman" w:hAnsi="Times New Roman"/>
          <w:sz w:val="28"/>
          <w:szCs w:val="28"/>
        </w:rPr>
        <w:t>,</w:t>
      </w:r>
      <w:r w:rsidRPr="00BA321C">
        <w:rPr>
          <w:rFonts w:ascii="Times New Roman" w:hAnsi="Times New Roman"/>
          <w:sz w:val="28"/>
          <w:szCs w:val="28"/>
        </w:rPr>
        <w:t xml:space="preserve"> в основе данной модели лежит предположение о том, что межрегиональное сближение экономического роста обусловлено наличием положительной корреляции между возникающим разрывом между фактическим уровнем валового регионального продукта на душу населения и уровнем ВРП, соответствующего динамике устойчивого экономического роста региона. В связи с этим, чем больше значение данного развития – тем более интенсивно происходит </w:t>
      </w:r>
      <w:r w:rsidR="00F63C0D" w:rsidRPr="00BA321C">
        <w:rPr>
          <w:rFonts w:ascii="Times New Roman" w:hAnsi="Times New Roman"/>
          <w:sz w:val="28"/>
          <w:szCs w:val="28"/>
        </w:rPr>
        <w:t>рост</w:t>
      </w:r>
      <w:r w:rsidRPr="00BA321C">
        <w:rPr>
          <w:rFonts w:ascii="Times New Roman" w:hAnsi="Times New Roman"/>
          <w:sz w:val="28"/>
          <w:szCs w:val="28"/>
        </w:rPr>
        <w:t xml:space="preserve"> региональной экономики, и наоборот. Следовательно, исходя из вышеизложенного, регионы-аутсайдеры, характеризующиеся низким уровнем экономического развития</w:t>
      </w:r>
      <w:r w:rsidR="00477E46" w:rsidRPr="00BA321C">
        <w:rPr>
          <w:rFonts w:ascii="Times New Roman" w:hAnsi="Times New Roman"/>
          <w:sz w:val="28"/>
          <w:szCs w:val="28"/>
        </w:rPr>
        <w:t>,</w:t>
      </w:r>
      <w:r w:rsidRPr="00BA321C">
        <w:rPr>
          <w:rFonts w:ascii="Times New Roman" w:hAnsi="Times New Roman"/>
          <w:sz w:val="28"/>
          <w:szCs w:val="28"/>
        </w:rPr>
        <w:t xml:space="preserve"> будут развиваться более быстрыми темпами, а регионы-лидеры менее интенсивно, тем самым и происходит сближение региональных экономических систем.</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Наиболее глубоко, по мнению экономистов, продвинулся в изучении факторов, определяющих экономическое развитие регионов Х. Зиберт. В качестве одного из главных дискуссионных вопросов ранее выступало то, что в рассмотренных моделях представителей неоклассического направления наблюдалось отсутствие учета пространственных факторов при изучении региональной экономики. В своей модели Х. Зиберт попытался устранить отмеченный недостаток посредством того, что построенная им производственная функция помимо ранее рассмотренных факторов производства включала в себя также и такие факторы, как транспортные </w:t>
      </w:r>
      <w:r w:rsidRPr="00BA321C">
        <w:rPr>
          <w:rFonts w:ascii="Times New Roman" w:hAnsi="Times New Roman"/>
          <w:sz w:val="28"/>
          <w:szCs w:val="28"/>
        </w:rPr>
        <w:lastRenderedPageBreak/>
        <w:t xml:space="preserve">затраты, а также параметры, учитывающие развитие социальной сферы. Более того, в дальнейшем Х. Зиберт осуществляет учет внешних факторов региона при организации экономического развития.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Подводя промежуточный итог обзору неоклассических моделей, объясняющих развитие и организацию региональных экономических систем необходимо отметить о наличии у них спорных моментов. Главный из них, по нашему мнению, характеризуется наличием гипотез, утверждающих о равномерности </w:t>
      </w:r>
      <w:r w:rsidR="00F63C0D" w:rsidRPr="00BA321C">
        <w:rPr>
          <w:rFonts w:ascii="Times New Roman" w:hAnsi="Times New Roman"/>
          <w:sz w:val="28"/>
          <w:szCs w:val="28"/>
        </w:rPr>
        <w:t>экономического роста</w:t>
      </w:r>
      <w:r w:rsidRPr="00BA321C">
        <w:rPr>
          <w:rFonts w:ascii="Times New Roman" w:hAnsi="Times New Roman"/>
          <w:sz w:val="28"/>
          <w:szCs w:val="28"/>
        </w:rPr>
        <w:t xml:space="preserve"> регионов в долгосрочной перспективе времени. При этом равномерность такого </w:t>
      </w:r>
      <w:r w:rsidR="00F63C0D" w:rsidRPr="00BA321C">
        <w:rPr>
          <w:rFonts w:ascii="Times New Roman" w:hAnsi="Times New Roman"/>
          <w:sz w:val="28"/>
          <w:szCs w:val="28"/>
        </w:rPr>
        <w:t>роста</w:t>
      </w:r>
      <w:r w:rsidRPr="00BA321C">
        <w:rPr>
          <w:rFonts w:ascii="Times New Roman" w:hAnsi="Times New Roman"/>
          <w:sz w:val="28"/>
          <w:szCs w:val="28"/>
        </w:rPr>
        <w:t xml:space="preserve"> объясняется мобильностью факторов производства. Причем данная мобильность имеет разнонаправленный характер взаимодополняющих факторов производства. К примеру, в случае если в регионе низкий уровень отдачи капитала, то последний перетекает в регион, обладающий высоким уровнем нормы прибыльности. То есть происходит перемещение капитала из развитых регионов в менее развитые. И наоборот, трудовые ресурсы перемещаются в регионы с высоким уровнем заработной платы. Тем самым, в результате разнонаправленных тенденций труда и капитала происходит выравнивание экономического развития </w:t>
      </w:r>
      <w:r w:rsidR="00D065FA" w:rsidRPr="00BA321C">
        <w:rPr>
          <w:rFonts w:ascii="Times New Roman" w:hAnsi="Times New Roman"/>
          <w:sz w:val="28"/>
          <w:szCs w:val="28"/>
        </w:rPr>
        <w:t xml:space="preserve">и роста </w:t>
      </w:r>
      <w:r w:rsidRPr="00BA321C">
        <w:rPr>
          <w:rFonts w:ascii="Times New Roman" w:hAnsi="Times New Roman"/>
          <w:sz w:val="28"/>
          <w:szCs w:val="28"/>
        </w:rPr>
        <w:t xml:space="preserve">регионов.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Бесспорно, рассматриваемые неоклассические модели экономической организации регионов во многом объясняют динамику и характер экономического роста. Межрегиональная мобильность факторов роста также бесспорна. Однако, по нашему мнению, при разработке производственных моделей рассмотрение взаимозаменяемости факторов является неочевидной. Более того, как нам кажется, мобильность факторов, способствующая, по мнению классиков, выравниванию межрегионального экономического развития не отвечает реалиям сегодняшнего времени. Во </w:t>
      </w:r>
      <w:r w:rsidR="00B73571" w:rsidRPr="00BA321C">
        <w:rPr>
          <w:rFonts w:ascii="Times New Roman" w:hAnsi="Times New Roman"/>
          <w:sz w:val="28"/>
          <w:szCs w:val="28"/>
        </w:rPr>
        <w:t xml:space="preserve">- </w:t>
      </w:r>
      <w:r w:rsidRPr="00BA321C">
        <w:rPr>
          <w:rFonts w:ascii="Times New Roman" w:hAnsi="Times New Roman"/>
          <w:sz w:val="28"/>
          <w:szCs w:val="28"/>
        </w:rPr>
        <w:t>первых</w:t>
      </w:r>
      <w:r w:rsidR="00477E46" w:rsidRPr="00BA321C">
        <w:rPr>
          <w:rFonts w:ascii="Times New Roman" w:hAnsi="Times New Roman"/>
          <w:sz w:val="28"/>
          <w:szCs w:val="28"/>
        </w:rPr>
        <w:t>,</w:t>
      </w:r>
      <w:r w:rsidRPr="00BA321C">
        <w:rPr>
          <w:rFonts w:ascii="Times New Roman" w:hAnsi="Times New Roman"/>
          <w:sz w:val="28"/>
          <w:szCs w:val="28"/>
        </w:rPr>
        <w:t xml:space="preserve"> в связи с тем, что рассматриваемые факторы производства обладают различными весовыми коэффициентами полезности, во </w:t>
      </w:r>
      <w:r w:rsidR="00B73571" w:rsidRPr="00BA321C">
        <w:rPr>
          <w:rFonts w:ascii="Times New Roman" w:hAnsi="Times New Roman"/>
          <w:sz w:val="28"/>
          <w:szCs w:val="28"/>
        </w:rPr>
        <w:t xml:space="preserve">- </w:t>
      </w:r>
      <w:r w:rsidRPr="00BA321C">
        <w:rPr>
          <w:rFonts w:ascii="Times New Roman" w:hAnsi="Times New Roman"/>
          <w:sz w:val="28"/>
          <w:szCs w:val="28"/>
        </w:rPr>
        <w:t xml:space="preserve">вторых межрегиональное перемещение факторов не может объяснятся сугубо рыночными процессами. Точнее рыночные процессы не являются единственными при формировании </w:t>
      </w:r>
      <w:r w:rsidRPr="00BA321C">
        <w:rPr>
          <w:rFonts w:ascii="Times New Roman" w:hAnsi="Times New Roman"/>
          <w:sz w:val="28"/>
          <w:szCs w:val="28"/>
        </w:rPr>
        <w:lastRenderedPageBreak/>
        <w:t xml:space="preserve">процессов перемещения факторов. В современных условиях хозяйствования большое значение имеют факторы, нерыночного воздействия: административные ограничения, нерациональные ожидания экономических агентов, социокультурные факторы, ограничивающие использование тех или иных инструментов и т. п.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связи с вышеизложенным неоклассические модели региональной экономики, ориентированные на равномерный, выравнивающийся характер развития, не могут всецело объяснять, и тем более прогнозировать динамику развития регионов.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Региональная асимметрия является одной из характерных особенностей регионального развития. При этом данная асимметрия является абсолютно естественной и формируется эволюционным путем, поскольку экономическая организация регионального пространства сопровождается историческими процессами развития и неравномерного размещения видов экономической деятельности, концентрации производственных фондов и как следствие специализации производства и т. п. Кроме того дифференциация регионального развития не является результатом предшествующего развития, она во многом обуславливается воздействием внешних факторов.</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Одним из наиболее уязвимых предположений ранней неоклассической теории являлось то, что теоретические предположения и гипотезы о мобильности производственных факторов не выполняются в условиях реальной жизни. Свидетельством этому послужили исследования В. Леонтьева, который эмпирическим путем доказал, что условия мобильности факторов на практике не выполняются.</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более поздние неоклассические теории регионального развития к вопросу о равномерности развития региональных экономических систем стали относится более аккуратнее. Одним из первых, кто обратил свое внимание на данный вопрос был А. Леш: «тенденция к выравниванию под воздействием лишь стихийных рыночных сил может протекать очень медленно» [27]. В более поздних трудах Х. Зиберта также можно встретить </w:t>
      </w:r>
      <w:r w:rsidRPr="00BA321C">
        <w:rPr>
          <w:rFonts w:ascii="Times New Roman" w:hAnsi="Times New Roman"/>
          <w:sz w:val="28"/>
          <w:szCs w:val="28"/>
        </w:rPr>
        <w:lastRenderedPageBreak/>
        <w:t xml:space="preserve">упоминания о том, что на определенных этапах развития могут наблюдаться расхождения в темпах экономического </w:t>
      </w:r>
      <w:r w:rsidR="00D065FA" w:rsidRPr="00BA321C">
        <w:rPr>
          <w:rFonts w:ascii="Times New Roman" w:hAnsi="Times New Roman"/>
          <w:sz w:val="28"/>
          <w:szCs w:val="28"/>
        </w:rPr>
        <w:t>роста</w:t>
      </w:r>
      <w:r w:rsidRPr="00BA321C">
        <w:rPr>
          <w:rFonts w:ascii="Times New Roman" w:hAnsi="Times New Roman"/>
          <w:sz w:val="28"/>
          <w:szCs w:val="28"/>
        </w:rPr>
        <w:t xml:space="preserve"> отдельных регионов, территорий.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Итак, несмотря на отмеченные недостатки неоклассических моделей регионального экономического роста, они позволяют решать целый ряд научных и практических задач: определять уровень влияния отдельных факторов на динамику роста экономики регионов; прогнозировать темпы экономического роста регионов; определять основные направления организации и развития производственных факторов в регионах и т. д.</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Помимо неоклассических моделей экономического роста регионов большое значение в экономической науке получило направление теорий кумулятивного роста. Данное направление, по сути, противопоставляет неоклассическим идеям сходимости экономического развития регионов положения о возникновении центров роста и специальных каналов их распространения в пространственной экономике. Другими словами, теория кумулятивного роста в своих исследованиях акценты ставит на разнонаправленность экономического регионального роста.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Модели кумулятивного роста опираются, преимущественно, на определение центров роста региональных экономических систем, формирующих агломерации. Кроме того</w:t>
      </w:r>
      <w:r w:rsidR="00477E46" w:rsidRPr="00BA321C">
        <w:rPr>
          <w:rFonts w:ascii="Times New Roman" w:hAnsi="Times New Roman"/>
          <w:sz w:val="28"/>
          <w:szCs w:val="28"/>
        </w:rPr>
        <w:t>,</w:t>
      </w:r>
      <w:r w:rsidRPr="00BA321C">
        <w:rPr>
          <w:rFonts w:ascii="Times New Roman" w:hAnsi="Times New Roman"/>
          <w:sz w:val="28"/>
          <w:szCs w:val="28"/>
        </w:rPr>
        <w:t xml:space="preserve"> значительное внимание уделяется вопросам распространения и диффузии инноваций, товаропотоков в пространственном разрезе регионов. К основным факторам производства и роста экономики региона в рассматриваемых моделях относят пространственные факторы, определяющие уровень конкурентоспособности отдельных территорий: транспортные издержки, месторасположение факторов производства, эффективность каналов распространения, специализацию разделения труда и иные уникальные особенности, характеризующие эффективность развития территорий, регионов.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Основным преимуществом рассматриваемых моделей, относительно неоклассических, является то, что в них используются реальные факторы </w:t>
      </w:r>
      <w:r w:rsidRPr="00BA321C">
        <w:rPr>
          <w:rFonts w:ascii="Times New Roman" w:hAnsi="Times New Roman"/>
          <w:sz w:val="28"/>
          <w:szCs w:val="28"/>
        </w:rPr>
        <w:lastRenderedPageBreak/>
        <w:t xml:space="preserve">регионального развития, простота их использования на практике, что обуславливает их популярность применения при стратегическом программировании региональных экономических систем. Кроме того, что на наш взгляд является крайне важным и актуальным, в кумулятивных моделях экономического роста важное значение уделяется инновациям и каналам их распространения в межрегиональном пространстве. При этом вопросу о диффузии инноваций уделяется крайне пристальное внимание, как к системообразующему фактору экономического роста.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Несомненно, теории кумулятивного роста не лишены недостатков. В основе разработанных моделей лежит гипотеза о том, что одним из ключевых факторов роста является степень промышленной индустриализации. Нет ни одной модели в теории кумулятивного роста, в которой бы игнорировался фактор развития крупных предприятий индустрии. Несомненно, данный факт неоспорим. Вместе с тем в рассматриваемых моделях практически полностью игнорируется один из ключевых, по нашему мнению, факторов </w:t>
      </w:r>
      <w:r w:rsidR="00D065FA" w:rsidRPr="00BA321C">
        <w:rPr>
          <w:rFonts w:ascii="Times New Roman" w:hAnsi="Times New Roman"/>
          <w:sz w:val="28"/>
          <w:szCs w:val="28"/>
        </w:rPr>
        <w:t>интенсивного экономического развития</w:t>
      </w:r>
      <w:r w:rsidRPr="00BA321C">
        <w:rPr>
          <w:rFonts w:ascii="Times New Roman" w:hAnsi="Times New Roman"/>
          <w:sz w:val="28"/>
          <w:szCs w:val="28"/>
        </w:rPr>
        <w:t xml:space="preserve"> – малое и среднее предпринимательство, а также рыночная инфраструктура, способствующая его развитию. Игнорирование данного фактора делает модели кумулятивного роста, в какой то мере, усеченными, что может предопределять неточность прогнозируемых результатов регионального экономического роста.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Одной из ключевых моделей кумулятивного роста, по мнению многих экономистов, является модель Г. Мюрдаля. В ней показывается эффект расхождения и дифференциации развития регионов. При этом данный эффект достигается за счет преобразования, конвертации уникальных особенностей регионов, что предопределяет особый путь развития каждого из них. К таковым особенностям Г. Мюрдаль относит, в первую очередь, специализацию индустриального профиля, а также, так называемый, эффект масштаба [28]. Их воздействие обеспечивает, по мнению автора, центры регионального развития, что, в конечном итоге, приводит к ускорению экономического роста в одних регионах и отставанию в других. Тем самым Г. </w:t>
      </w:r>
      <w:r w:rsidRPr="00BA321C">
        <w:rPr>
          <w:rFonts w:ascii="Times New Roman" w:hAnsi="Times New Roman"/>
          <w:sz w:val="28"/>
          <w:szCs w:val="28"/>
        </w:rPr>
        <w:lastRenderedPageBreak/>
        <w:t xml:space="preserve">Мюрдаль делает предположение о неравномерности экономического развития в региональном пространстве. При этом к главным особенностям регионального профиля, определяющего структуру и динамику развития, является также и притягательность крупных агломерационных центров (агломерационный эффект). Данный факт обуславливает для предприятий региона экономию на производственных издержках: заработная плата, трансакционные расходы и т. п.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Схожие взгляды по отношению к агломерационному эффекту имел и Х. Ричардсон. Согласно его теории</w:t>
      </w:r>
      <w:r w:rsidR="00477E46" w:rsidRPr="00BA321C">
        <w:rPr>
          <w:rFonts w:ascii="Times New Roman" w:hAnsi="Times New Roman"/>
          <w:sz w:val="28"/>
          <w:szCs w:val="28"/>
        </w:rPr>
        <w:t>,</w:t>
      </w:r>
      <w:r w:rsidRPr="00BA321C">
        <w:rPr>
          <w:rFonts w:ascii="Times New Roman" w:hAnsi="Times New Roman"/>
          <w:sz w:val="28"/>
          <w:szCs w:val="28"/>
        </w:rPr>
        <w:t xml:space="preserve"> именно агломерационные центры являются основным источником развития промышленного сектора экономики, роста производительности труда, научно-технического прогресса [29]. В связи с этим, по мнению Х. Ричардсона утверждать о сходимости регионального развития является не совсем верным в виду того, что агломерационные центры изначально дифференцируют региональное пространство. Таким образом, главной идеей Х. Ричардсона было то, что в основе экономического роста лежит принцип локализации. Именно он определяет концентрацию инвестиционной активности, научно-технического прогресса, а также процессы социально-политической активности.</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Значительный вклад в кумулятивную теорию роста внес известный французский экономист Ж.-Р. Будвиль. Он также, как и все другие представители кумулятивной теории был убежден в том, что рост экономики не может происходить равномерно в региональном и отраслевом пространстве. Данное предположение он обосновывал тем, что во всем многообразии отраслей народного хозяйства есть те, которые относятся к динамично развивающимся, а есть такие динамика роста которых характеризуется инерционностью развития. Так вот первый тип отраслей, по мнению Ж.-Р. Будвиля является стимулом прогресса регионального экономического роста и является «полюсом развития» [29]</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Данная теория полюсов получила свое развитие в трудах П. Потье. По мнению экономиста</w:t>
      </w:r>
      <w:r w:rsidR="00390FF5" w:rsidRPr="00BA321C">
        <w:rPr>
          <w:rFonts w:ascii="Times New Roman" w:hAnsi="Times New Roman"/>
          <w:sz w:val="28"/>
          <w:szCs w:val="28"/>
        </w:rPr>
        <w:t>,</w:t>
      </w:r>
      <w:r w:rsidRPr="00BA321C">
        <w:rPr>
          <w:rFonts w:ascii="Times New Roman" w:hAnsi="Times New Roman"/>
          <w:sz w:val="28"/>
          <w:szCs w:val="28"/>
        </w:rPr>
        <w:t xml:space="preserve"> регионы, </w:t>
      </w:r>
      <w:r w:rsidR="00390FF5" w:rsidRPr="00BA321C">
        <w:rPr>
          <w:rFonts w:ascii="Times New Roman" w:hAnsi="Times New Roman"/>
          <w:sz w:val="28"/>
          <w:szCs w:val="28"/>
        </w:rPr>
        <w:t xml:space="preserve">территориально расположенные между </w:t>
      </w:r>
      <w:r w:rsidR="00390FF5" w:rsidRPr="00BA321C">
        <w:rPr>
          <w:rFonts w:ascii="Times New Roman" w:hAnsi="Times New Roman"/>
          <w:sz w:val="28"/>
          <w:szCs w:val="28"/>
        </w:rPr>
        <w:lastRenderedPageBreak/>
        <w:t>полюсами роста способны получать вспомогательные импульсы экономического роста</w:t>
      </w:r>
      <w:r w:rsidRPr="00BA321C">
        <w:rPr>
          <w:rFonts w:ascii="Times New Roman" w:hAnsi="Times New Roman"/>
          <w:sz w:val="28"/>
          <w:szCs w:val="28"/>
        </w:rPr>
        <w:t xml:space="preserve"> за счет формирующихся грузовых потоков, развивающихся инфраструктурных объектов. Тем самым данные буферные регионы формируют, так называемые, оси развития [30] и наряду с «полюсами роста» формируют точки экономической динамики.</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Несомненно, представленный набор кумулятивных теорий экономики роста регионов не является полным. К ярчайшим представителям рассматриваемого направления в экономике необходимо отнести таких исследователей, как А. Хришман, Дж. Фридман, Х. Гирш, Х. Р. Ласуэн. Их работы также посвящены источникам и факторам экономического роста. При этом все они придерживались концепции возникновения центров роста, как одного из главенствующих факторов регионального развития и дифференциации.</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Значительный объем работ, посвященный изучению закономерностей экономического роста в регионах основывается на эконометрическом анализе. Целью данных работ было подтверждение на практике, с использованием обширного объема статистической информации, теоретических гипотез.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Необходимо отдельно остановится на современной отечественной школе изучения организации и развития региональной экономики. Теоретико-методологические исследования по региональной экономике в СССР были направлены, преимущественно, на решение следующих проблем:</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 факторы размещения производительных сил и закономерности их развития;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 методы и регулирования регионального развития.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Наиболее видными учеными в области региональной экономики являлись B.C. Немчинов, КН. Баранский, А.Е. Пробст, НН Некрасов, Я.Г. Фейгин, Р.И. Шнипер.</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качестве основных факторов развития региональной экономики и  размещения производительных сил включали:  трудовые ресурсы; географическое размещение;  основные фонды региона; инфраструктурный </w:t>
      </w:r>
      <w:r w:rsidRPr="00BA321C">
        <w:rPr>
          <w:rFonts w:ascii="Times New Roman" w:hAnsi="Times New Roman"/>
          <w:sz w:val="28"/>
          <w:szCs w:val="28"/>
        </w:rPr>
        <w:lastRenderedPageBreak/>
        <w:t xml:space="preserve">комплекс; природные ресурсы, в том числе и энергетические; транспортный фактор; научно-технические ресурсы; качество управления; социальный климат и др. Вся совокупность факторов подразделяется на объективные и субъективные и, в зависимости от рассматриваемой проблемы, учитываются те или иные факторы.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Исследования отечественной школы региональной экономики были направлены на создание методологии системы территориального планирования и управления применительно к сложившимся на тот момент времени условиям хозяйствования, разработку региональных программ и крупных инвестиционных проектов. </w:t>
      </w:r>
    </w:p>
    <w:p w:rsidR="007A7047" w:rsidRPr="00BA321C" w:rsidRDefault="005C48EC"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Впервые вопросы изучения регионального развития получили свое развитие в нашей стране в созданной в 1915г. Комиссии по изучению естественных производительных сил под руководством академика Вернадского В. К. </w:t>
      </w:r>
      <w:r w:rsidR="007A7047" w:rsidRPr="00BA321C">
        <w:rPr>
          <w:rFonts w:ascii="Times New Roman" w:hAnsi="Times New Roman"/>
          <w:sz w:val="28"/>
          <w:szCs w:val="28"/>
        </w:rPr>
        <w:t xml:space="preserve">[30].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1930 году в СССР был создан Совет по изучению производительных сил (СОПС). Начиная с 60-ых годов в стране начали на периодической и систематической основе разрабатывать Генеральную схему развития и размещения производительных сил СССР на базе синтеза теоретических, методологических и эмпирических исследований, реализованных научными и проектными организациями страны.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В шестидесятых годах в СССР была разработана Генеральная схема развития и размещения производительных сил, синтезировавшая в себе целый набор исследований имевших место на тот момент времени в отечественной школе региональной экономики. В дальнейшем разрабатывались аналогичные государственные программы и генеральные схемы развития, использующие в своей основе профильные исследования проектных и научных организаций. Данные стратегические программы развития включали в себя вопросы разработки схем районных планировок, концепции и схемы развития городских агломераций.</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lastRenderedPageBreak/>
        <w:t xml:space="preserve">При этом необходимо отметить, что разработкой программ развития занимались преимущественно приправительственные ведомства и организации – слабо ориентированные на регионализм. Идеология советского Правительства была направлена, в первую очередь, на развитие и функционирование централизованной экономики, постольку поскольку интересы Правительства представляли, в первую очередь, профильные министерства и ведомства, выступающими, по сути, в роли гигантских вертикально-ориентированных монополий. Таким образом, регионалистский подход был слабо развит в экономике советского союза. </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Вместе с тем, начиная с 80-х годов в системе государственного планирования активизировались исследования, направленные на региональные аспекты развития. К примеру, были разработаны такие плановые региональные программы, как развитие Западно-Сибирского нефтегазового комплекса, развитие территориально-производственных комплексов, ориентированных на освоение природных ресурсов. Кроме того в союзных республиках были начаты разработки в области развития отдельных территориальных образований. Таким образом, можно говорить о том, что в рассматриваемый период времени произошел значительный сдвиг в научных исследованиях отечественной экономической школы в сторону децентрализации региональной экономики. К середине 1980-х гг. во всех </w:t>
      </w:r>
      <w:r w:rsidR="00F4355C" w:rsidRPr="00BA321C">
        <w:rPr>
          <w:rFonts w:ascii="Times New Roman" w:hAnsi="Times New Roman"/>
          <w:sz w:val="28"/>
          <w:szCs w:val="28"/>
        </w:rPr>
        <w:t>республиках СССР функционировало более пятидесяти научных учреждений, занимающихся научными исследованиями в области региональной экономики</w:t>
      </w:r>
      <w:r w:rsidRPr="00BA321C">
        <w:rPr>
          <w:rFonts w:ascii="Times New Roman" w:hAnsi="Times New Roman"/>
          <w:sz w:val="28"/>
          <w:szCs w:val="28"/>
        </w:rPr>
        <w:t>[30].</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Несомненно, утверждать и говорить о том, что отсутствие учета региональных аспектов при стратегическом программировании развития страны является следствием централизованного стиля управления, было бы не верным. Конечно же, регионалистские взгляды не могли игнорироваться полностью. При этом следует отметить, что представители взглядов региональной экономики были причастны не только к определенного рода успехам и достижениям, но и к ошибкам при выработке решений о </w:t>
      </w:r>
      <w:r w:rsidRPr="00BA321C">
        <w:rPr>
          <w:rFonts w:ascii="Times New Roman" w:hAnsi="Times New Roman"/>
          <w:sz w:val="28"/>
          <w:szCs w:val="28"/>
        </w:rPr>
        <w:lastRenderedPageBreak/>
        <w:t>размещении производительных сил. Некоторые направления отечественной региональной экономической мысли придерживались взглядов гигантомании в промышленном строительстве, демографической политики, направленной на масштабное перемещение населения в регионы со сложными условиями жизнедеятельности, узкоспециализированной направленности в развитии отдельных региональных образований. Таким образом, в основе их идеологии превалировало представление о централизованном характере развития государства в ущерб принципам регионального экономического развития.</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Вместе с тем неэффективное размещение производительных сил и низкая ориентация на региональное развитие в СССР являлось следствием в большей части игнорирования научных рекомендаций в сфере развития региональной экономики, а не столько ошибочными взглядами на принципы развития экономики.</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В целом можно отметить, что в научных школах советской эпохи, занимающихся исследованиями в области развития региональной экономики и размещения производительных сил, несмотря на все отмеченные ранее достоинства и недостатки, недостаточно внимания уделялось вопросам учета социальных, экологических факторов при выборе и научном обосновании регионального развития. Кроме того</w:t>
      </w:r>
      <w:r w:rsidR="00F302F2" w:rsidRPr="00BA321C">
        <w:rPr>
          <w:rFonts w:ascii="Times New Roman" w:hAnsi="Times New Roman"/>
          <w:sz w:val="28"/>
          <w:szCs w:val="28"/>
        </w:rPr>
        <w:t>,</w:t>
      </w:r>
      <w:r w:rsidRPr="00BA321C">
        <w:rPr>
          <w:rFonts w:ascii="Times New Roman" w:hAnsi="Times New Roman"/>
          <w:sz w:val="28"/>
          <w:szCs w:val="28"/>
        </w:rPr>
        <w:t xml:space="preserve"> незначительный удельный вес в исследованиях составляли такие важные проблемы, как развитие инфраструктурной, инновационной, коммуникационной среды. Все же, по мере эволюционного развития хозяйственной среды, происходили постепенные сдвиги в сторону учета регионального фактора при определении стратегии и принципов социально-экономического развития государства. К примеру, на рубеже 80-ых значительно расширилось внимание вопросам экологического и социального развития, а также усилилось внимание вопросам межрегиональных отношений, и механизмам регионального развития. </w:t>
      </w:r>
    </w:p>
    <w:p w:rsidR="00833EB9"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На наш взгляд при выборе инструментов и методов управления развитием производительных сил регионов и их пространственного развития </w:t>
      </w:r>
      <w:r w:rsidRPr="00BA321C">
        <w:rPr>
          <w:rFonts w:ascii="Times New Roman" w:hAnsi="Times New Roman"/>
          <w:sz w:val="28"/>
          <w:szCs w:val="28"/>
        </w:rPr>
        <w:lastRenderedPageBreak/>
        <w:t xml:space="preserve">необходимо учитывать целый комплекс факторов, характеризующих и определяющих их социально-экономический потенциал и привлекательность. При этом данные факторы не должны ограничиваться сугубо экономическим набором показателей, отражающих качество экономического роста. Управление организационно-экономическим развитием производительных сил региона должно во многом опираться и на показатели </w:t>
      </w:r>
      <w:r w:rsidR="00D065FA" w:rsidRPr="00BA321C">
        <w:rPr>
          <w:rFonts w:ascii="Times New Roman" w:hAnsi="Times New Roman"/>
          <w:sz w:val="28"/>
          <w:szCs w:val="28"/>
        </w:rPr>
        <w:t xml:space="preserve">институционального порядка, включающие в себя, в том числе, и факторы </w:t>
      </w:r>
      <w:r w:rsidRPr="00BA321C">
        <w:rPr>
          <w:rFonts w:ascii="Times New Roman" w:hAnsi="Times New Roman"/>
          <w:sz w:val="28"/>
          <w:szCs w:val="28"/>
        </w:rPr>
        <w:t>социального</w:t>
      </w:r>
      <w:r w:rsidR="00791C9D" w:rsidRPr="00BA321C">
        <w:rPr>
          <w:rFonts w:ascii="Times New Roman" w:hAnsi="Times New Roman"/>
          <w:sz w:val="28"/>
          <w:szCs w:val="28"/>
        </w:rPr>
        <w:t>,</w:t>
      </w:r>
      <w:r w:rsidRPr="00BA321C">
        <w:rPr>
          <w:rFonts w:ascii="Times New Roman" w:hAnsi="Times New Roman"/>
          <w:sz w:val="28"/>
          <w:szCs w:val="28"/>
        </w:rPr>
        <w:t xml:space="preserve"> экологического благополучия</w:t>
      </w:r>
      <w:r w:rsidR="00791C9D" w:rsidRPr="00BA321C">
        <w:rPr>
          <w:rFonts w:ascii="Times New Roman" w:hAnsi="Times New Roman"/>
          <w:sz w:val="28"/>
          <w:szCs w:val="28"/>
        </w:rPr>
        <w:t>, а также факторы, учитывающие условия инновационно-модернизационных трансформаций экономических систем</w:t>
      </w:r>
      <w:r w:rsidRPr="00BA321C">
        <w:rPr>
          <w:rFonts w:ascii="Times New Roman" w:hAnsi="Times New Roman"/>
          <w:sz w:val="28"/>
          <w:szCs w:val="28"/>
        </w:rPr>
        <w:t xml:space="preserve">. </w:t>
      </w:r>
    </w:p>
    <w:p w:rsidR="004C0B35" w:rsidRPr="00BA321C" w:rsidRDefault="004C0B35" w:rsidP="00BA321C">
      <w:pPr>
        <w:shd w:val="clear" w:color="auto" w:fill="FFFFFF" w:themeFill="background1"/>
        <w:spacing w:after="0" w:line="360" w:lineRule="auto"/>
        <w:ind w:firstLine="709"/>
        <w:jc w:val="both"/>
        <w:rPr>
          <w:rFonts w:ascii="Times New Roman" w:hAnsi="Times New Roman"/>
          <w:sz w:val="28"/>
          <w:szCs w:val="28"/>
        </w:rPr>
      </w:pPr>
    </w:p>
    <w:p w:rsidR="007A7047" w:rsidRPr="00BA321C" w:rsidRDefault="007A7047" w:rsidP="00C35E98">
      <w:pPr>
        <w:pStyle w:val="3"/>
      </w:pPr>
      <w:bookmarkStart w:id="4" w:name="_Toc451869589"/>
      <w:r w:rsidRPr="00BA321C">
        <w:t>1.3 Методы оценки эффективности организационно-экономического развития и размещения производительных сил в регионе</w:t>
      </w:r>
      <w:bookmarkEnd w:id="4"/>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Разработка эффективной системы, способствующей развитию производительных сил </w:t>
      </w:r>
      <w:r w:rsidR="009B7C3D" w:rsidRPr="00BA321C">
        <w:rPr>
          <w:rFonts w:ascii="Times New Roman" w:hAnsi="Times New Roman"/>
          <w:sz w:val="28"/>
          <w:szCs w:val="28"/>
        </w:rPr>
        <w:t>в соответствии</w:t>
      </w:r>
      <w:r w:rsidR="007903ED" w:rsidRPr="00BA321C">
        <w:rPr>
          <w:rFonts w:ascii="Times New Roman" w:hAnsi="Times New Roman"/>
          <w:sz w:val="28"/>
          <w:szCs w:val="28"/>
        </w:rPr>
        <w:t xml:space="preserve"> с</w:t>
      </w:r>
      <w:r w:rsidR="009B7C3D" w:rsidRPr="00BA321C">
        <w:rPr>
          <w:rFonts w:ascii="Times New Roman" w:hAnsi="Times New Roman"/>
          <w:sz w:val="28"/>
          <w:szCs w:val="28"/>
        </w:rPr>
        <w:t xml:space="preserve"> прогрессивными тенденциями технологических сдвигов, </w:t>
      </w:r>
      <w:r w:rsidRPr="00BA321C">
        <w:rPr>
          <w:rFonts w:ascii="Times New Roman" w:hAnsi="Times New Roman"/>
          <w:sz w:val="28"/>
          <w:szCs w:val="28"/>
        </w:rPr>
        <w:t>и, следовательно, укреплению конкурентоспособности региона, является одной их стратегических задач социально-экономического развития в современных условиях хозяйствования, характеризующихся высоким уровнем интеграции национальной экономики в систему мирохозяйственных связей. Реализация конкурентных преимуществ территориального разделения труда не может эффективно формироваться в условиях слабого системного взаимодействия всех элементов, определяющих эффективность развития производительных сил. К таковым элементам можно отнести, например, объекты инфраструктуры, человеческие ресурсы, институциональные, организационные и правовые условия и т.п. При этом данное системное взаимодействие во многом определяет интеграционный эффект отдельных элементов производительных сил, что может приводить к формированию целостности воспроизводственного процесса и, как следствие, повышению устойчивого и сбалансированного социально-экономического развития.</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lastRenderedPageBreak/>
        <w:t>Анализ теоретических исследований в сфере изучения вопросов развития и размещения региональных производительных сил демонстрирует отсутствие целостного представления в сфере организационно-экономических аспектов. Исследователями раскрываются либо отдельные аспекты экономического характера, раскрывающие основные принципы развития и размещения региональных производительных сил, либо аспекты пространственного изучения. Вместе с тем, на наш взгляд, вопросы изучения развития региональных производительных сил должны изучаться через призму комплексного и системного анализа набора всех факторов и элементов, формирующих возможности и перспективы развития региональных производительных сил, включающих в себя помимо экономических и пространственных аспектов, аспекты организационного</w:t>
      </w:r>
      <w:r w:rsidR="009B7C3D" w:rsidRPr="00BA321C">
        <w:rPr>
          <w:rFonts w:ascii="Times New Roman" w:hAnsi="Times New Roman"/>
          <w:sz w:val="28"/>
          <w:szCs w:val="28"/>
        </w:rPr>
        <w:t>,</w:t>
      </w:r>
      <w:r w:rsidRPr="00BA321C">
        <w:rPr>
          <w:rFonts w:ascii="Times New Roman" w:hAnsi="Times New Roman"/>
          <w:sz w:val="28"/>
          <w:szCs w:val="28"/>
        </w:rPr>
        <w:t xml:space="preserve"> социального </w:t>
      </w:r>
      <w:r w:rsidR="009B7C3D" w:rsidRPr="00BA321C">
        <w:rPr>
          <w:rFonts w:ascii="Times New Roman" w:hAnsi="Times New Roman"/>
          <w:sz w:val="28"/>
          <w:szCs w:val="28"/>
        </w:rPr>
        <w:t xml:space="preserve">и институционального </w:t>
      </w:r>
      <w:r w:rsidRPr="00BA321C">
        <w:rPr>
          <w:rFonts w:ascii="Times New Roman" w:hAnsi="Times New Roman"/>
          <w:sz w:val="28"/>
          <w:szCs w:val="28"/>
        </w:rPr>
        <w:t>характера. В этой связи существует необходимость уточнения и структурирования системы понятий, раскрывающих сущность организационно-экономического развития и размещения производительных сил в регионе, что в конечном итоге, позволит дополнить существующую систему научных положений по управлению организационно-экономическими процессами.</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В теории региональной экономики можно выделить несколько подходов к исследованию организационно-экономического развития региональных производительных сил. </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Согласно взглядам, одного из основоположников теории предпринимательства Й. Шумпетера, организационно-экономическое развитие производительных сил определяется «новаторскими способностями предпринимательских структур, гибкостью их инновационно-инвестиционных решений, связанных с новыми возможностями извлечения прибыли» [34].</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В рамках «теории полюсов роста» промышленность рассматривается как совокупность определенных отраслей, а его организационно-экономическое развитие определяется как </w:t>
      </w:r>
      <w:r w:rsidR="009336F2" w:rsidRPr="00BA321C">
        <w:rPr>
          <w:rFonts w:ascii="Times New Roman" w:hAnsi="Times New Roman"/>
          <w:sz w:val="28"/>
          <w:szCs w:val="28"/>
        </w:rPr>
        <w:t>«</w:t>
      </w:r>
      <w:r w:rsidRPr="00BA321C">
        <w:rPr>
          <w:rFonts w:ascii="Times New Roman" w:hAnsi="Times New Roman"/>
          <w:sz w:val="28"/>
          <w:szCs w:val="28"/>
        </w:rPr>
        <w:t xml:space="preserve">структурное изменение, </w:t>
      </w:r>
      <w:r w:rsidRPr="00BA321C">
        <w:rPr>
          <w:rFonts w:ascii="Times New Roman" w:hAnsi="Times New Roman"/>
          <w:sz w:val="28"/>
          <w:szCs w:val="28"/>
        </w:rPr>
        <w:lastRenderedPageBreak/>
        <w:t>вызванное ростом новых, «увлекающих» отраслей (данные «полюса роста» сперва инициируют, а затем распространяют развитие на окружающее пространство)</w:t>
      </w:r>
      <w:r w:rsidR="009336F2" w:rsidRPr="00BA321C">
        <w:rPr>
          <w:rFonts w:ascii="Times New Roman" w:hAnsi="Times New Roman"/>
          <w:sz w:val="28"/>
          <w:szCs w:val="28"/>
        </w:rPr>
        <w:t>»[35]</w:t>
      </w:r>
      <w:r w:rsidRPr="00BA321C">
        <w:rPr>
          <w:rFonts w:ascii="Times New Roman" w:hAnsi="Times New Roman"/>
          <w:sz w:val="28"/>
          <w:szCs w:val="28"/>
        </w:rPr>
        <w:t>. Ж. Будвиль показал, что «в качестве полюсов роста можно рассматривать не только совокупности предприятий лидирующих отраслей, но и конкретные территории, выполняющие в экономике региона функцию источника инноваций и прогресса»[35]</w:t>
      </w:r>
      <w:r w:rsidR="009336F2" w:rsidRPr="00BA321C">
        <w:rPr>
          <w:rFonts w:ascii="Times New Roman" w:hAnsi="Times New Roman"/>
          <w:sz w:val="28"/>
          <w:szCs w:val="28"/>
        </w:rPr>
        <w:t>.</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Согласно «сырьевой» теории и «теории экономической базы» промышленный комплекс региона составляют базовый (ориентированный на удовлетворение внешнего спроса) и не базовый (ориентированный на внутрирегиональные потребности) секторы. Движущей силой организационно-экономического развития промышленного комплекса в этом случае выступает рост внешнего спроса, который приводит к увеличению регионального экспорта и росту в базовом секторе, а эквивалентом - рост физических объемов производства, уровня доходов населения или занятости [35].</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Современные подходы изучения организационно-экономического развития производительных сил основываются, преимущественно, на динамических факторах изменения системы. В обобщенном виде определение динамических организационных способностей можно представить как возможности структурных элементов промышленного комплекса к интеграции, созданию и реконфигурации внутренних и внешних компетенций в ответ на изменения окружающей среды. </w:t>
      </w:r>
    </w:p>
    <w:p w:rsidR="00B67CD7" w:rsidRPr="00BA321C" w:rsidRDefault="00B67CD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Таким образом, организационно-экономическое развитие производительных сил представляет собой динамический процесс взаимодействия различных структурообразующих его факторов в целях достижения конкурентоспособного и адаптивного социально-экономического роста. Данный процесс характеризуется как количественными, так и качественными параметрами, что находит свое отражение в системе оценок качества и эффективности развития и размещения производительных сил. </w:t>
      </w:r>
    </w:p>
    <w:p w:rsidR="00B67CD7" w:rsidRPr="00BA321C" w:rsidRDefault="00B67CD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lastRenderedPageBreak/>
        <w:t xml:space="preserve">Исходя из вышесказанного, под организационно-экономическим развитием и размещением региональных производительных сил необходимо понимать процесс организации системообразующих производительных элементов региональной хозяйственной системы в соответствии с имеющимися особенностями региональных потенциалов (экономического, социального и институционального) в целях достижения конкурентоспособного социально-экономического развития в условиях текущих и перспективных преобразований во внутренней и внешней среде.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Соответствующая организация производительных элементов формируется посредством экономических, кооперационных, интеграционных и социальных связей. Следовательно, можно предположить, что уровень организационно-экономического развития и размещения региональных производительных сил отражает интенсивность и качество формирования указанных связей.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На практике же качество организационно-экономического развития и размещения региональных производительных сил определяется, в первую очередь, абсолютными показателями эффективности (темпы роста экономики, интенсивность развития промышленного производства и т. п.) и относительными – производительность труда, рентабельность производства и т.п. Другими словами говоря, наиболее эффективное социально-экономическое развитие достигается в том случае, когда организационно-экономическое формы развития и размещения производительных сил обеспечивают максимальную эффективность. И наоборот, эффективное развитие и размещение производительных сил достигается в том случае, когда социально-экономические параметры территориальных систем достигают максимальной эффективности.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Следует отметить, что для каждого сложившегося технологического уклада соответствует свой тип организационно-экономического развития и размещения региональных производительных сил, определяющий характер и динамику происходящих макрогенераций. Исходя из этого, набор </w:t>
      </w:r>
      <w:r w:rsidRPr="00BA321C">
        <w:rPr>
          <w:rFonts w:ascii="Times New Roman" w:hAnsi="Times New Roman"/>
          <w:sz w:val="28"/>
          <w:szCs w:val="28"/>
        </w:rPr>
        <w:lastRenderedPageBreak/>
        <w:t xml:space="preserve">индикаторов и оценок эффективности развития производительных сил будет иметь свою собственную структуру, соответствующую той или иной хронологии циклов длинных волн. Институциональные изменения материально-вещественной структуры общественного продукта, характеризующие тот или иной технологический уклад, обуславливают необходимость совершенствования и адаптации сложившихся форм организации производительных сил, включающую в себя и систему соответствующих оценок. </w:t>
      </w:r>
    </w:p>
    <w:p w:rsidR="00F4355C" w:rsidRPr="00BA321C" w:rsidRDefault="009336F2"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Согласно общепринятого в экономической науке определения, ядро технологического уклада «…образует комплекс базисных совокупностей технологически сопряженных производств»[31].</w:t>
      </w:r>
      <w:r w:rsidR="007A7047" w:rsidRPr="00BA321C">
        <w:rPr>
          <w:rFonts w:ascii="Times New Roman" w:hAnsi="Times New Roman"/>
          <w:sz w:val="28"/>
          <w:szCs w:val="28"/>
        </w:rPr>
        <w:t xml:space="preserve"> Сам же технологический уклад «… формируется в рамках экономической системы, охватывая все стадии переработки ресурсов и соответствующий тип непроизводственного потребления, образуя макроэкономический воспроизводственный контур, самовоспроизводящуюся целостность…»</w:t>
      </w:r>
      <w:r w:rsidR="00BE64D5" w:rsidRPr="00BA321C">
        <w:rPr>
          <w:rFonts w:ascii="Times New Roman" w:hAnsi="Times New Roman"/>
          <w:sz w:val="28"/>
          <w:szCs w:val="28"/>
        </w:rPr>
        <w:t xml:space="preserve"> </w:t>
      </w:r>
      <w:r w:rsidR="007A7047" w:rsidRPr="00BA321C">
        <w:rPr>
          <w:rFonts w:ascii="Times New Roman" w:hAnsi="Times New Roman"/>
          <w:sz w:val="28"/>
          <w:szCs w:val="28"/>
        </w:rPr>
        <w:t>[32].</w:t>
      </w:r>
      <w:r w:rsidR="00F4355C" w:rsidRPr="00BA321C">
        <w:rPr>
          <w:rFonts w:ascii="Times New Roman" w:hAnsi="Times New Roman"/>
          <w:sz w:val="28"/>
          <w:szCs w:val="28"/>
        </w:rPr>
        <w:t xml:space="preserve"> Технологический уклад формируется в результате появления целого набора институционально и технологически оформленных </w:t>
      </w:r>
      <w:r w:rsidR="00EA4962" w:rsidRPr="00BA321C">
        <w:rPr>
          <w:rFonts w:ascii="Times New Roman" w:hAnsi="Times New Roman"/>
          <w:sz w:val="28"/>
          <w:szCs w:val="28"/>
        </w:rPr>
        <w:t>факторов, выраженных в появлении новых видов экономической деятельности, инновационных ниш, методов организации процессов.</w:t>
      </w:r>
    </w:p>
    <w:p w:rsidR="007A7047" w:rsidRPr="00BA321C" w:rsidRDefault="00EA4962"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Я</w:t>
      </w:r>
      <w:r w:rsidR="007A7047" w:rsidRPr="00BA321C">
        <w:rPr>
          <w:rFonts w:ascii="Times New Roman" w:hAnsi="Times New Roman"/>
          <w:sz w:val="28"/>
          <w:szCs w:val="28"/>
        </w:rPr>
        <w:t>дро технологического уклада формирует организационно-экономическое развитие и размещение региональных производительных сил (и наоборот), определяющие, как ранее упоминалось, ма</w:t>
      </w:r>
      <w:r w:rsidRPr="00BA321C">
        <w:rPr>
          <w:rFonts w:ascii="Times New Roman" w:hAnsi="Times New Roman"/>
          <w:sz w:val="28"/>
          <w:szCs w:val="28"/>
        </w:rPr>
        <w:t>к</w:t>
      </w:r>
      <w:r w:rsidR="007A7047" w:rsidRPr="00BA321C">
        <w:rPr>
          <w:rFonts w:ascii="Times New Roman" w:hAnsi="Times New Roman"/>
          <w:sz w:val="28"/>
          <w:szCs w:val="28"/>
        </w:rPr>
        <w:t xml:space="preserve">рогенерации. </w:t>
      </w:r>
      <w:r w:rsidR="00DA23BC" w:rsidRPr="00BA321C">
        <w:rPr>
          <w:rFonts w:ascii="Times New Roman" w:hAnsi="Times New Roman"/>
          <w:sz w:val="28"/>
          <w:szCs w:val="28"/>
        </w:rPr>
        <w:t>Впервые данное понятие</w:t>
      </w:r>
      <w:r w:rsidR="007A7047" w:rsidRPr="00BA321C">
        <w:rPr>
          <w:rFonts w:ascii="Times New Roman" w:hAnsi="Times New Roman"/>
          <w:sz w:val="28"/>
          <w:szCs w:val="28"/>
        </w:rPr>
        <w:t xml:space="preserve"> «макрогенерации» </w:t>
      </w:r>
      <w:r w:rsidR="00DA23BC" w:rsidRPr="00BA321C">
        <w:rPr>
          <w:rFonts w:ascii="Times New Roman" w:hAnsi="Times New Roman"/>
          <w:sz w:val="28"/>
          <w:szCs w:val="28"/>
        </w:rPr>
        <w:t>упомянуто</w:t>
      </w:r>
      <w:r w:rsidR="007A7047" w:rsidRPr="00BA321C">
        <w:rPr>
          <w:rFonts w:ascii="Times New Roman" w:hAnsi="Times New Roman"/>
          <w:sz w:val="28"/>
          <w:szCs w:val="28"/>
        </w:rPr>
        <w:t xml:space="preserve"> В. Маевским. </w:t>
      </w:r>
      <w:r w:rsidR="00DC09E4" w:rsidRPr="00BA321C">
        <w:rPr>
          <w:rFonts w:ascii="Times New Roman" w:hAnsi="Times New Roman"/>
          <w:sz w:val="28"/>
          <w:szCs w:val="28"/>
        </w:rPr>
        <w:t>Согласно его точки зрения</w:t>
      </w:r>
      <w:r w:rsidR="007A7047" w:rsidRPr="00BA321C">
        <w:rPr>
          <w:rFonts w:ascii="Times New Roman" w:hAnsi="Times New Roman"/>
          <w:sz w:val="28"/>
          <w:szCs w:val="28"/>
        </w:rPr>
        <w:t xml:space="preserve"> </w:t>
      </w:r>
      <w:r w:rsidR="00DC09E4" w:rsidRPr="00BA321C">
        <w:rPr>
          <w:rFonts w:ascii="Times New Roman" w:hAnsi="Times New Roman"/>
          <w:sz w:val="28"/>
          <w:szCs w:val="28"/>
        </w:rPr>
        <w:t>«…</w:t>
      </w:r>
      <w:r w:rsidR="007A7047" w:rsidRPr="00BA321C">
        <w:rPr>
          <w:rFonts w:ascii="Times New Roman" w:hAnsi="Times New Roman"/>
          <w:sz w:val="28"/>
          <w:szCs w:val="28"/>
        </w:rPr>
        <w:t>макрогенерации экономического роста, отражают в укрупненном (агрегированном) виде жизненный цикл отдельных составляющих валового внутреннего продукта</w:t>
      </w:r>
      <w:r w:rsidR="00DC09E4" w:rsidRPr="00BA321C">
        <w:rPr>
          <w:rFonts w:ascii="Times New Roman" w:hAnsi="Times New Roman"/>
          <w:sz w:val="28"/>
          <w:szCs w:val="28"/>
        </w:rPr>
        <w:t>»</w:t>
      </w:r>
      <w:r w:rsidR="00DA23BC" w:rsidRPr="00BA321C">
        <w:rPr>
          <w:rFonts w:ascii="Times New Roman" w:hAnsi="Times New Roman"/>
          <w:sz w:val="28"/>
          <w:szCs w:val="28"/>
        </w:rPr>
        <w:t>.</w:t>
      </w:r>
      <w:r w:rsidR="007A7047" w:rsidRPr="00BA321C">
        <w:rPr>
          <w:rFonts w:ascii="Times New Roman" w:hAnsi="Times New Roman"/>
          <w:sz w:val="28"/>
          <w:szCs w:val="28"/>
        </w:rPr>
        <w:t xml:space="preserve"> Одна макрогенерация постепенно вытесняет другую, занимая ее экономическое пространство</w:t>
      </w:r>
      <w:r w:rsidR="00DC09E4" w:rsidRPr="00BA321C">
        <w:rPr>
          <w:rFonts w:ascii="Times New Roman" w:hAnsi="Times New Roman"/>
          <w:sz w:val="28"/>
          <w:szCs w:val="28"/>
        </w:rPr>
        <w:t>»</w:t>
      </w:r>
      <w:r w:rsidR="00BE64D5" w:rsidRPr="00BA321C">
        <w:rPr>
          <w:rFonts w:ascii="Times New Roman" w:hAnsi="Times New Roman"/>
          <w:sz w:val="28"/>
          <w:szCs w:val="28"/>
        </w:rPr>
        <w:t xml:space="preserve"> </w:t>
      </w:r>
      <w:r w:rsidR="00DC09E4" w:rsidRPr="00BA321C">
        <w:rPr>
          <w:rFonts w:ascii="Times New Roman" w:hAnsi="Times New Roman"/>
          <w:sz w:val="28"/>
          <w:szCs w:val="28"/>
        </w:rPr>
        <w:t>[33]</w:t>
      </w:r>
      <w:r w:rsidR="007A7047" w:rsidRPr="00BA321C">
        <w:rPr>
          <w:rFonts w:ascii="Times New Roman" w:hAnsi="Times New Roman"/>
          <w:sz w:val="28"/>
          <w:szCs w:val="28"/>
        </w:rPr>
        <w:t xml:space="preserve">. Согласно Й. Шумпетеру, </w:t>
      </w:r>
      <w:r w:rsidR="00DC09E4" w:rsidRPr="00BA321C">
        <w:rPr>
          <w:rFonts w:ascii="Times New Roman" w:hAnsi="Times New Roman"/>
          <w:sz w:val="28"/>
          <w:szCs w:val="28"/>
        </w:rPr>
        <w:t>«</w:t>
      </w:r>
      <w:r w:rsidR="007A7047" w:rsidRPr="00BA321C">
        <w:rPr>
          <w:rFonts w:ascii="Times New Roman" w:hAnsi="Times New Roman"/>
          <w:sz w:val="28"/>
          <w:szCs w:val="28"/>
        </w:rPr>
        <w:t>конкуренция между макрогенерациями – это борьба за право пользования группой базовых товаров. Новая макрогенерация, появившись, начинает отбирать ресурсы у старых макрогенераций</w:t>
      </w:r>
      <w:r w:rsidR="00DC09E4" w:rsidRPr="00BA321C">
        <w:rPr>
          <w:rFonts w:ascii="Times New Roman" w:hAnsi="Times New Roman"/>
          <w:sz w:val="28"/>
          <w:szCs w:val="28"/>
        </w:rPr>
        <w:t>»</w:t>
      </w:r>
      <w:r w:rsidR="00BE64D5" w:rsidRPr="00BA321C">
        <w:rPr>
          <w:rFonts w:ascii="Times New Roman" w:hAnsi="Times New Roman"/>
          <w:sz w:val="28"/>
          <w:szCs w:val="28"/>
        </w:rPr>
        <w:t xml:space="preserve"> </w:t>
      </w:r>
      <w:r w:rsidR="007A7047" w:rsidRPr="00BA321C">
        <w:rPr>
          <w:rFonts w:ascii="Times New Roman" w:hAnsi="Times New Roman"/>
          <w:sz w:val="28"/>
          <w:szCs w:val="28"/>
        </w:rPr>
        <w:t>[33].</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lastRenderedPageBreak/>
        <w:t xml:space="preserve">Таким образом, обязательным при изучении организационно-экономического развития и размещения региональных производительных сил и тем более при изучении системы оценок эффективности их развития является выделение ключевых структурообразующих факторов технологического уклада (в том числе и институциональных). </w:t>
      </w:r>
    </w:p>
    <w:p w:rsidR="0019504B" w:rsidRPr="00BA321C" w:rsidRDefault="00347D5E"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Анализ эволюционного развития технологических укладов</w:t>
      </w:r>
      <w:r w:rsidR="0019504B" w:rsidRPr="00BA321C">
        <w:rPr>
          <w:rFonts w:ascii="Times New Roman" w:hAnsi="Times New Roman"/>
          <w:sz w:val="28"/>
          <w:szCs w:val="28"/>
        </w:rPr>
        <w:t xml:space="preserve"> демонстрируют наличие определенной закономерности, выраженной в том, что по мере эволюции технологических укладов прослеживается появление большего разнообразия ключевых факторов их определяющих.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В связи с этим, при разработке системы оценок организационно-экономического развития производительных сил, существует необходимость учета структурообразующих факторов, определяющих тип технологического уклада. Совершенно очевидно, что система оценок, характеризующая эффективность развития производительных сил, присущим более поздним технологическим укладам должна включать в себя показатели инновационного развития регионов – как ключевого фактора, обеспечивающего устойчивое экономическое развитие. Обусловлено это, в первую очередь, тем, что спрос на инновации является ключевым фактором развития производительных сил.</w:t>
      </w:r>
      <w:r w:rsidR="00BE64D5" w:rsidRPr="00BA321C">
        <w:rPr>
          <w:rFonts w:ascii="Times New Roman" w:hAnsi="Times New Roman"/>
          <w:sz w:val="28"/>
          <w:szCs w:val="28"/>
        </w:rPr>
        <w:t xml:space="preserve">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Вместе с тем после своего </w:t>
      </w:r>
      <w:r w:rsidR="000F317D" w:rsidRPr="00BA321C">
        <w:rPr>
          <w:rFonts w:ascii="Times New Roman" w:hAnsi="Times New Roman"/>
          <w:sz w:val="28"/>
          <w:szCs w:val="28"/>
        </w:rPr>
        <w:t>эволюционного развития</w:t>
      </w:r>
      <w:r w:rsidRPr="00BA321C">
        <w:rPr>
          <w:rFonts w:ascii="Times New Roman" w:hAnsi="Times New Roman"/>
          <w:sz w:val="28"/>
          <w:szCs w:val="28"/>
        </w:rPr>
        <w:t xml:space="preserve"> большинство производительных сил</w:t>
      </w:r>
      <w:r w:rsidR="000F317D" w:rsidRPr="00BA321C">
        <w:rPr>
          <w:rFonts w:ascii="Times New Roman" w:hAnsi="Times New Roman"/>
          <w:sz w:val="28"/>
          <w:szCs w:val="28"/>
        </w:rPr>
        <w:t xml:space="preserve"> (</w:t>
      </w:r>
      <w:r w:rsidRPr="00BA321C">
        <w:rPr>
          <w:rFonts w:ascii="Times New Roman" w:hAnsi="Times New Roman"/>
          <w:sz w:val="28"/>
          <w:szCs w:val="28"/>
        </w:rPr>
        <w:t>отраслевых комплексов</w:t>
      </w:r>
      <w:r w:rsidR="000F317D" w:rsidRPr="00BA321C">
        <w:rPr>
          <w:rFonts w:ascii="Times New Roman" w:hAnsi="Times New Roman"/>
          <w:sz w:val="28"/>
          <w:szCs w:val="28"/>
        </w:rPr>
        <w:t>)</w:t>
      </w:r>
      <w:r w:rsidRPr="00BA321C">
        <w:rPr>
          <w:rFonts w:ascii="Times New Roman" w:hAnsi="Times New Roman"/>
          <w:sz w:val="28"/>
          <w:szCs w:val="28"/>
        </w:rPr>
        <w:t xml:space="preserve">, хотя и относительно вытесняются с экономического пространства современными макрогенерациями, но при этом не умирает. Таким образом исключать из системы оценок организационно-экономического развития производительных сил «индустриальные» показатели было бы не правильно на современном этапе развития. </w:t>
      </w:r>
    </w:p>
    <w:p w:rsidR="007A7047"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Любой регион имеет свои специфические особенности организационно-экономического развития производительных сил, несмотря на общность и однородность данного развития в результате единства принципов и подходов </w:t>
      </w:r>
      <w:r w:rsidRPr="00BA321C">
        <w:rPr>
          <w:rFonts w:ascii="Times New Roman" w:hAnsi="Times New Roman"/>
          <w:sz w:val="28"/>
          <w:szCs w:val="28"/>
        </w:rPr>
        <w:lastRenderedPageBreak/>
        <w:t>промышленной и социально-экономической политики на федеральном уровне.</w:t>
      </w:r>
    </w:p>
    <w:p w:rsidR="009336F2" w:rsidRPr="00BA321C" w:rsidRDefault="007A7047" w:rsidP="00BA321C">
      <w:pPr>
        <w:shd w:val="clear" w:color="auto" w:fill="FFFFFF" w:themeFill="background1"/>
        <w:spacing w:after="0" w:line="360" w:lineRule="auto"/>
        <w:ind w:firstLine="720"/>
        <w:jc w:val="both"/>
        <w:rPr>
          <w:rFonts w:ascii="Times New Roman" w:hAnsi="Times New Roman"/>
          <w:sz w:val="28"/>
          <w:szCs w:val="28"/>
        </w:rPr>
      </w:pPr>
      <w:r w:rsidRPr="00BA321C">
        <w:rPr>
          <w:rFonts w:ascii="Times New Roman" w:hAnsi="Times New Roman"/>
          <w:sz w:val="28"/>
          <w:szCs w:val="28"/>
        </w:rPr>
        <w:t xml:space="preserve">Исходя из ранее выдвинутых гипотез и предположений вся совокупность структурообразующих факторов, подлежащих оценке при анализе эффективности организационно-экономического развития производительных сил региона можно </w:t>
      </w:r>
      <w:r w:rsidR="009336F2" w:rsidRPr="00BA321C">
        <w:rPr>
          <w:rFonts w:ascii="Times New Roman" w:hAnsi="Times New Roman"/>
          <w:sz w:val="28"/>
          <w:szCs w:val="28"/>
        </w:rPr>
        <w:t>подразделить на объективные и субъективные; экзогенные (характеризующие степень интеграции в мировые воспроизводственные цепочки) и эндогенные (характеризу</w:t>
      </w:r>
      <w:r w:rsidR="00AC5F18" w:rsidRPr="00BA321C">
        <w:rPr>
          <w:rFonts w:ascii="Times New Roman" w:hAnsi="Times New Roman"/>
          <w:sz w:val="28"/>
          <w:szCs w:val="28"/>
        </w:rPr>
        <w:t>ющие специфические особенности внутреннего потенциала системы</w:t>
      </w:r>
      <w:r w:rsidR="009336F2" w:rsidRPr="00BA321C">
        <w:rPr>
          <w:rFonts w:ascii="Times New Roman" w:hAnsi="Times New Roman"/>
          <w:sz w:val="28"/>
          <w:szCs w:val="28"/>
        </w:rPr>
        <w:t>)</w:t>
      </w:r>
      <w:r w:rsidR="00AC5F18" w:rsidRPr="00BA321C">
        <w:rPr>
          <w:rFonts w:ascii="Times New Roman" w:hAnsi="Times New Roman"/>
          <w:sz w:val="28"/>
          <w:szCs w:val="28"/>
        </w:rPr>
        <w:t>; прямые (уровень развития ресурсной базы) и косвенные</w:t>
      </w:r>
      <w:r w:rsidR="009336F2" w:rsidRPr="00BA321C">
        <w:rPr>
          <w:rFonts w:ascii="Times New Roman" w:hAnsi="Times New Roman"/>
          <w:sz w:val="28"/>
          <w:szCs w:val="28"/>
        </w:rPr>
        <w:t xml:space="preserve"> </w:t>
      </w:r>
      <w:r w:rsidR="00AC5F18" w:rsidRPr="00BA321C">
        <w:rPr>
          <w:rFonts w:ascii="Times New Roman" w:hAnsi="Times New Roman"/>
          <w:sz w:val="28"/>
          <w:szCs w:val="28"/>
        </w:rPr>
        <w:t>(эффективность функционирования регулирующих и вспомогательных компонентов развития производительных сил).</w:t>
      </w:r>
    </w:p>
    <w:p w:rsidR="007A7047" w:rsidRPr="00BA321C" w:rsidRDefault="007A7047" w:rsidP="00BA321C">
      <w:pPr>
        <w:shd w:val="clear" w:color="auto" w:fill="FFFFFF" w:themeFill="background1"/>
        <w:spacing w:after="0" w:line="360" w:lineRule="auto"/>
        <w:ind w:firstLine="567"/>
        <w:jc w:val="both"/>
        <w:rPr>
          <w:rFonts w:ascii="Times New Roman" w:hAnsi="Times New Roman"/>
          <w:sz w:val="28"/>
          <w:szCs w:val="28"/>
        </w:rPr>
      </w:pPr>
      <w:r w:rsidRPr="00BA321C">
        <w:rPr>
          <w:rFonts w:ascii="Times New Roman" w:hAnsi="Times New Roman"/>
          <w:sz w:val="28"/>
          <w:szCs w:val="28"/>
        </w:rPr>
        <w:t>Итак, если следовать логике пятого технологического уклада, соответствующего современному этапу развития национальной и региональной экономик, организационно-экономическое развитие производительных сил и укрепление их конкурентоспособности должно осуществляться посредством укрепления ресурсной базы. Таким образом, первая группа показателей, оценивающих эффективность развития и размещения производительных сил, должна в себя включать показатели, отражающие качество ресурсной базы, включая показатели инфраструктурного развития.</w:t>
      </w:r>
    </w:p>
    <w:p w:rsidR="007A7047" w:rsidRPr="00BA321C" w:rsidRDefault="007A7047" w:rsidP="00BA321C">
      <w:pPr>
        <w:shd w:val="clear" w:color="auto" w:fill="FFFFFF" w:themeFill="background1"/>
        <w:spacing w:after="0" w:line="360" w:lineRule="auto"/>
        <w:ind w:firstLine="567"/>
        <w:jc w:val="both"/>
        <w:rPr>
          <w:rFonts w:ascii="Times New Roman" w:hAnsi="Times New Roman"/>
          <w:sz w:val="28"/>
          <w:szCs w:val="28"/>
        </w:rPr>
      </w:pPr>
      <w:r w:rsidRPr="00BA321C">
        <w:rPr>
          <w:rFonts w:ascii="Times New Roman" w:hAnsi="Times New Roman"/>
          <w:sz w:val="28"/>
          <w:szCs w:val="28"/>
        </w:rPr>
        <w:t>Вместе с тем в условиях ресурсных ограничений важным фактором при оценке эффективности развития производительных сил выступает инвестиционная привлекательность региона, определяющая вторую группу показателей оценки.</w:t>
      </w:r>
    </w:p>
    <w:p w:rsidR="007A7047" w:rsidRPr="00BA321C" w:rsidRDefault="007A7047" w:rsidP="00BA321C">
      <w:pPr>
        <w:shd w:val="clear" w:color="auto" w:fill="FFFFFF" w:themeFill="background1"/>
        <w:spacing w:after="0" w:line="360" w:lineRule="auto"/>
        <w:ind w:firstLine="567"/>
        <w:jc w:val="both"/>
        <w:rPr>
          <w:rFonts w:ascii="Times New Roman" w:hAnsi="Times New Roman"/>
          <w:sz w:val="28"/>
          <w:szCs w:val="28"/>
        </w:rPr>
      </w:pPr>
      <w:r w:rsidRPr="00BA321C">
        <w:rPr>
          <w:rFonts w:ascii="Times New Roman" w:hAnsi="Times New Roman"/>
          <w:sz w:val="28"/>
          <w:szCs w:val="28"/>
        </w:rPr>
        <w:t xml:space="preserve">Учитывая то, что конкурентоспособность регионов в ближайшие десятилетия будет формироваться во многом исходя из трансформационных процессов, формирующихся в процессе переходного периода от одного технологического уклада (пятого) к другому (шестому) особую значимость приобретают факторы инновационного воспроизводства производительных </w:t>
      </w:r>
      <w:r w:rsidRPr="00BA321C">
        <w:rPr>
          <w:rFonts w:ascii="Times New Roman" w:hAnsi="Times New Roman"/>
          <w:sz w:val="28"/>
          <w:szCs w:val="28"/>
        </w:rPr>
        <w:lastRenderedPageBreak/>
        <w:t>сил. Более того чрезмерно актуальными здесь становятся факторы, определяющие качество человеческого капитала. Показатели, оценивающие эффективность развития рассматриваемых факторов, мы отнесем в третью группу.</w:t>
      </w:r>
    </w:p>
    <w:p w:rsidR="00F63C0D" w:rsidRPr="00BA321C" w:rsidRDefault="007A7047" w:rsidP="00BA321C">
      <w:pPr>
        <w:shd w:val="clear" w:color="auto" w:fill="FFFFFF" w:themeFill="background1"/>
        <w:spacing w:after="0" w:line="360" w:lineRule="auto"/>
        <w:ind w:firstLine="567"/>
        <w:jc w:val="both"/>
        <w:rPr>
          <w:rFonts w:ascii="Times New Roman" w:hAnsi="Times New Roman"/>
          <w:sz w:val="28"/>
          <w:szCs w:val="28"/>
        </w:rPr>
      </w:pPr>
      <w:r w:rsidRPr="00BA321C">
        <w:rPr>
          <w:rFonts w:ascii="Times New Roman" w:hAnsi="Times New Roman"/>
          <w:sz w:val="28"/>
          <w:szCs w:val="28"/>
        </w:rPr>
        <w:t xml:space="preserve">К четвертой группе необходимо отнести показатели, характеризующие качество институциональных факторов, определяющих конкурентоспособность и динамику развития производительных сил. </w:t>
      </w:r>
      <w:r w:rsidR="00F63C0D" w:rsidRPr="00BA321C">
        <w:rPr>
          <w:rFonts w:ascii="Times New Roman" w:hAnsi="Times New Roman"/>
          <w:sz w:val="28"/>
          <w:szCs w:val="28"/>
        </w:rPr>
        <w:t>Данное утверждение полностью согласуется с выдвинуты</w:t>
      </w:r>
      <w:r w:rsidR="00BE64D5" w:rsidRPr="00BA321C">
        <w:rPr>
          <w:rFonts w:ascii="Times New Roman" w:hAnsi="Times New Roman"/>
          <w:sz w:val="28"/>
          <w:szCs w:val="28"/>
        </w:rPr>
        <w:t>м</w:t>
      </w:r>
      <w:r w:rsidR="00F63C0D" w:rsidRPr="00BA321C">
        <w:rPr>
          <w:rFonts w:ascii="Times New Roman" w:hAnsi="Times New Roman"/>
          <w:sz w:val="28"/>
          <w:szCs w:val="28"/>
        </w:rPr>
        <w:t xml:space="preserve"> и обоснованным утверждением о том, что при изучении развития и размещения производительных сил существует необходимость анализа институциональных особенностей развития системы в тот или иной исторический период, в том числе и государственных институтов. Важным здесь является согласованность данного подхода с концепцией изучения развития региональных производительных сил, раскрываемой в трудах К. Маркса и Ф. Энгельса</w:t>
      </w:r>
    </w:p>
    <w:p w:rsidR="007A7047" w:rsidRPr="00BA321C" w:rsidRDefault="007A7047" w:rsidP="00BA321C">
      <w:pPr>
        <w:shd w:val="clear" w:color="auto" w:fill="FFFFFF" w:themeFill="background1"/>
        <w:spacing w:after="0" w:line="360" w:lineRule="auto"/>
        <w:ind w:firstLine="567"/>
        <w:jc w:val="both"/>
        <w:rPr>
          <w:rFonts w:ascii="Times New Roman" w:hAnsi="Times New Roman"/>
          <w:sz w:val="28"/>
          <w:szCs w:val="28"/>
        </w:rPr>
      </w:pPr>
      <w:r w:rsidRPr="00BA321C">
        <w:rPr>
          <w:rFonts w:ascii="Times New Roman" w:hAnsi="Times New Roman"/>
          <w:sz w:val="28"/>
          <w:szCs w:val="28"/>
        </w:rPr>
        <w:t>К пятой группе показателей, оценивающих качество организационно-экономического развития производительных сил относятся показатели, отражающие социально-экологические аспекты.</w:t>
      </w: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настоящее время источниками развития производительных сил региона выступают развивающиеся и расширяющиеся отрасли индустриального развития (машиностроение, химия и нефтехимия, другие виды экономической деятельности, относящиеся к обрабатывающей промышленности) сконцентрированные, как правило, в урбанизированных зонах. </w:t>
      </w:r>
      <w:r w:rsidR="0034492B" w:rsidRPr="00BA321C">
        <w:rPr>
          <w:rFonts w:ascii="Times New Roman" w:hAnsi="Times New Roman"/>
          <w:sz w:val="28"/>
          <w:szCs w:val="28"/>
        </w:rPr>
        <w:t>Тем самым можно утверждать, что организационно-экономическое развитие производительных сил</w:t>
      </w:r>
      <w:r w:rsidRPr="00BA321C">
        <w:rPr>
          <w:rFonts w:ascii="Times New Roman" w:hAnsi="Times New Roman"/>
          <w:sz w:val="28"/>
          <w:szCs w:val="28"/>
        </w:rPr>
        <w:t xml:space="preserve"> </w:t>
      </w:r>
      <w:r w:rsidR="0034492B" w:rsidRPr="00BA321C">
        <w:rPr>
          <w:rFonts w:ascii="Times New Roman" w:hAnsi="Times New Roman"/>
          <w:sz w:val="28"/>
          <w:szCs w:val="28"/>
        </w:rPr>
        <w:t xml:space="preserve">во многом </w:t>
      </w:r>
      <w:r w:rsidRPr="00BA321C">
        <w:rPr>
          <w:rFonts w:ascii="Times New Roman" w:hAnsi="Times New Roman"/>
          <w:sz w:val="28"/>
          <w:szCs w:val="28"/>
        </w:rPr>
        <w:t xml:space="preserve">основываются </w:t>
      </w:r>
      <w:r w:rsidR="0034492B" w:rsidRPr="00BA321C">
        <w:rPr>
          <w:rFonts w:ascii="Times New Roman" w:hAnsi="Times New Roman"/>
          <w:sz w:val="28"/>
          <w:szCs w:val="28"/>
        </w:rPr>
        <w:t xml:space="preserve">на сформировавшемся в регионе типе городского и сельского расселения, а также иных параметрах их демографического развития. </w:t>
      </w:r>
      <w:r w:rsidRPr="00BA321C">
        <w:rPr>
          <w:rFonts w:ascii="Times New Roman" w:hAnsi="Times New Roman"/>
          <w:sz w:val="28"/>
          <w:szCs w:val="28"/>
        </w:rPr>
        <w:t>В связи с этим при оценке эффективности и перспектив развития и размещения производительных сил необходимо учитывать и оценивать «демографический каркас» индустриально</w:t>
      </w:r>
      <w:r w:rsidR="00252D00" w:rsidRPr="00BA321C">
        <w:rPr>
          <w:rFonts w:ascii="Times New Roman" w:hAnsi="Times New Roman"/>
          <w:sz w:val="28"/>
          <w:szCs w:val="28"/>
        </w:rPr>
        <w:t>-промышленного</w:t>
      </w:r>
      <w:r w:rsidRPr="00BA321C">
        <w:rPr>
          <w:rFonts w:ascii="Times New Roman" w:hAnsi="Times New Roman"/>
          <w:sz w:val="28"/>
          <w:szCs w:val="28"/>
        </w:rPr>
        <w:t xml:space="preserve"> развития регионов</w:t>
      </w:r>
      <w:r w:rsidR="00252D00" w:rsidRPr="00BA321C">
        <w:rPr>
          <w:rFonts w:ascii="Times New Roman" w:hAnsi="Times New Roman"/>
          <w:sz w:val="28"/>
          <w:szCs w:val="28"/>
        </w:rPr>
        <w:t xml:space="preserve">, учитывая </w:t>
      </w:r>
      <w:r w:rsidR="00252D00" w:rsidRPr="00BA321C">
        <w:rPr>
          <w:rFonts w:ascii="Times New Roman" w:hAnsi="Times New Roman"/>
          <w:sz w:val="28"/>
          <w:szCs w:val="28"/>
        </w:rPr>
        <w:lastRenderedPageBreak/>
        <w:t>многоступенчатость формирующихся</w:t>
      </w:r>
      <w:r w:rsidRPr="00BA321C">
        <w:rPr>
          <w:rFonts w:ascii="Times New Roman" w:hAnsi="Times New Roman"/>
          <w:sz w:val="28"/>
          <w:szCs w:val="28"/>
        </w:rPr>
        <w:t xml:space="preserve"> агломерационных зон, обладающих комплексом быстро развивающихся производств. Таким образом, в шестую группу показателей, оценивающих эффективность организационно-экономического развития производительных сил, отнесем показатели, характеризующие «демографический каркас» региона со всем многообразием входящих в него агломерационных зон.</w:t>
      </w:r>
    </w:p>
    <w:p w:rsidR="007A7047" w:rsidRPr="00BA321C" w:rsidRDefault="00F02869"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noProof/>
          <w:sz w:val="28"/>
          <w:szCs w:val="28"/>
          <w:lang w:eastAsia="ru-RU"/>
        </w:rPr>
        <w:drawing>
          <wp:inline distT="0" distB="0" distL="0" distR="0" wp14:anchorId="28418499" wp14:editId="7488B041">
            <wp:extent cx="5972175" cy="3571875"/>
            <wp:effectExtent l="0" t="0" r="0" b="9525"/>
            <wp:docPr id="3" name="Схема 1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7A7047" w:rsidRPr="00BA321C" w:rsidRDefault="007A7047"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Рисунок 1</w:t>
      </w:r>
      <w:r w:rsidR="00D05695" w:rsidRPr="00BA321C">
        <w:rPr>
          <w:rFonts w:ascii="Times New Roman" w:hAnsi="Times New Roman"/>
          <w:sz w:val="28"/>
          <w:szCs w:val="28"/>
        </w:rPr>
        <w:t>.3</w:t>
      </w:r>
      <w:r w:rsidR="004B5821" w:rsidRPr="00BA321C">
        <w:rPr>
          <w:rFonts w:ascii="Times New Roman" w:hAnsi="Times New Roman"/>
          <w:sz w:val="28"/>
          <w:szCs w:val="28"/>
        </w:rPr>
        <w:t>.1</w:t>
      </w:r>
      <w:r w:rsidRPr="00BA321C">
        <w:rPr>
          <w:rFonts w:ascii="Times New Roman" w:hAnsi="Times New Roman"/>
          <w:sz w:val="28"/>
          <w:szCs w:val="28"/>
        </w:rPr>
        <w:t xml:space="preserve"> – Структурообразующие факторы организационно-экономического развития производительных сил региона</w:t>
      </w:r>
    </w:p>
    <w:p w:rsidR="004C0B35" w:rsidRPr="00BA321C" w:rsidRDefault="004C0B35" w:rsidP="00BA321C">
      <w:pPr>
        <w:shd w:val="clear" w:color="auto" w:fill="FFFFFF" w:themeFill="background1"/>
        <w:spacing w:after="0" w:line="360" w:lineRule="auto"/>
        <w:ind w:firstLine="709"/>
        <w:jc w:val="both"/>
        <w:rPr>
          <w:rFonts w:ascii="Times New Roman" w:hAnsi="Times New Roman"/>
          <w:sz w:val="28"/>
          <w:szCs w:val="28"/>
        </w:rPr>
      </w:pPr>
    </w:p>
    <w:p w:rsidR="007A7047" w:rsidRPr="00BA321C" w:rsidRDefault="007A7047"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Схема представляет собой симбиотический подход к изучению факторов организационно-экономического развития производительных сил, включающая в себя взгляды ведущих ученых в области изучаемой экономической проблемы</w:t>
      </w:r>
      <w:r w:rsidR="00BE64D5" w:rsidRPr="00BA321C">
        <w:rPr>
          <w:rFonts w:ascii="Times New Roman" w:hAnsi="Times New Roman"/>
          <w:sz w:val="28"/>
          <w:szCs w:val="28"/>
        </w:rPr>
        <w:t>, представленные выше</w:t>
      </w:r>
      <w:r w:rsidRPr="00BA321C">
        <w:rPr>
          <w:rFonts w:ascii="Times New Roman" w:hAnsi="Times New Roman"/>
          <w:sz w:val="28"/>
          <w:szCs w:val="28"/>
        </w:rPr>
        <w:t>.</w:t>
      </w:r>
      <w:r w:rsidR="006977D7" w:rsidRPr="00BA321C">
        <w:rPr>
          <w:rFonts w:ascii="Times New Roman" w:hAnsi="Times New Roman"/>
          <w:sz w:val="28"/>
          <w:szCs w:val="28"/>
        </w:rPr>
        <w:t xml:space="preserve"> При этом она учитывает концептуальные подходы, различных школ и теоретических направлений исследования факторов регионального роста. </w:t>
      </w:r>
    </w:p>
    <w:p w:rsidR="004C0B35" w:rsidRPr="00BA321C" w:rsidRDefault="004C0B35" w:rsidP="00BA321C">
      <w:pPr>
        <w:shd w:val="clear" w:color="auto" w:fill="FFFFFF" w:themeFill="background1"/>
        <w:spacing w:after="0" w:line="360" w:lineRule="auto"/>
        <w:ind w:firstLine="709"/>
        <w:jc w:val="both"/>
        <w:rPr>
          <w:rFonts w:ascii="Times New Roman" w:hAnsi="Times New Roman"/>
          <w:sz w:val="28"/>
          <w:szCs w:val="28"/>
        </w:rPr>
      </w:pPr>
    </w:p>
    <w:p w:rsidR="004C0B35" w:rsidRPr="00BA321C" w:rsidRDefault="004C0B35" w:rsidP="00BA321C">
      <w:pPr>
        <w:shd w:val="clear" w:color="auto" w:fill="FFFFFF" w:themeFill="background1"/>
        <w:spacing w:after="0" w:line="360" w:lineRule="auto"/>
        <w:ind w:firstLine="709"/>
        <w:jc w:val="both"/>
        <w:rPr>
          <w:rFonts w:ascii="Times New Roman" w:hAnsi="Times New Roman"/>
          <w:sz w:val="28"/>
          <w:szCs w:val="28"/>
        </w:rPr>
      </w:pPr>
    </w:p>
    <w:p w:rsidR="004C0B35" w:rsidRPr="00BA321C" w:rsidRDefault="004C0B35" w:rsidP="00BA321C">
      <w:pPr>
        <w:shd w:val="clear" w:color="auto" w:fill="FFFFFF" w:themeFill="background1"/>
        <w:spacing w:after="0" w:line="360" w:lineRule="auto"/>
        <w:ind w:firstLine="709"/>
        <w:jc w:val="both"/>
        <w:rPr>
          <w:rFonts w:ascii="Times New Roman" w:hAnsi="Times New Roman"/>
          <w:sz w:val="28"/>
          <w:szCs w:val="28"/>
        </w:rPr>
      </w:pPr>
    </w:p>
    <w:p w:rsidR="007A7047" w:rsidRPr="00BA321C" w:rsidRDefault="007A7047" w:rsidP="00C35E98">
      <w:pPr>
        <w:pStyle w:val="3"/>
      </w:pPr>
      <w:bookmarkStart w:id="5" w:name="_Toc451869590"/>
      <w:r w:rsidRPr="00BA321C">
        <w:lastRenderedPageBreak/>
        <w:t xml:space="preserve">ГЛАВА 2 </w:t>
      </w:r>
      <w:r w:rsidR="000E0DF4" w:rsidRPr="00BA321C">
        <w:t xml:space="preserve">РАЗРАБОТКА И АПРОБАЦИЯ МЕТОДИЧЕСКИХ ПОДХОДОВ К </w:t>
      </w:r>
      <w:r w:rsidR="00450177" w:rsidRPr="00BA321C">
        <w:t>ОРГАНИЗАЦИОННО-ЭКОНОМИЧЕСКОМУ РАЗВИТИЮ РЕГИОНАЛЬНЫХ ПРОИЗВОДИТЕЛЬНЫХ СИЛ</w:t>
      </w:r>
      <w:bookmarkEnd w:id="5"/>
      <w:r w:rsidR="00450177" w:rsidRPr="00BA321C">
        <w:t xml:space="preserve"> </w:t>
      </w:r>
    </w:p>
    <w:p w:rsidR="00804176" w:rsidRPr="00BA321C" w:rsidRDefault="00804176" w:rsidP="00BA321C">
      <w:pPr>
        <w:shd w:val="clear" w:color="auto" w:fill="FFFFFF" w:themeFill="background1"/>
        <w:spacing w:after="0" w:line="360" w:lineRule="auto"/>
        <w:ind w:firstLine="851"/>
        <w:jc w:val="both"/>
        <w:rPr>
          <w:rFonts w:ascii="Times New Roman" w:hAnsi="Times New Roman"/>
          <w:b/>
          <w:sz w:val="28"/>
          <w:szCs w:val="28"/>
        </w:rPr>
      </w:pPr>
    </w:p>
    <w:p w:rsidR="007A7047" w:rsidRPr="00BA321C" w:rsidRDefault="007A7047" w:rsidP="00C35E98">
      <w:pPr>
        <w:pStyle w:val="3"/>
      </w:pPr>
      <w:bookmarkStart w:id="6" w:name="_Toc451869591"/>
      <w:r w:rsidRPr="00BA321C">
        <w:t xml:space="preserve">2.1 Диагностика социально-экономической привлекательности регионов, как инструмент </w:t>
      </w:r>
      <w:r w:rsidR="00450177" w:rsidRPr="00BA321C">
        <w:t>организационно-экономического развития производительных сил</w:t>
      </w:r>
      <w:bookmarkEnd w:id="6"/>
    </w:p>
    <w:p w:rsidR="0071209A" w:rsidRPr="00BA321C" w:rsidRDefault="0071209A"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рамках реализации эффективной государственной политики в области организационно-экономического развития и размещения производительных сил, возникает острая необходимость в разработке комплексной системы оценки социально-экономического положения и перспектив развития регионов. Данная необходимость обусловлена, в первую очередь, повышением качества и обоснованности принимаемых решений в сфере регулирования процессов развития воспроизводственных процессов, а также научно-обоснованным определением основных приоритетов в области региональной государственной политики.</w:t>
      </w:r>
    </w:p>
    <w:p w:rsidR="0071209A" w:rsidRPr="00BA321C" w:rsidRDefault="0071209A"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Современное состояние российской науки не в полной мере отвечает условиям устойчивого регионального экономического роста, которые обусловлены, в частности, темпами внедрения новейших научно-технических решений в сфере развития производительных сил экономики. Глубина и масштабы охвата вызванных преобразований в воспроизводственном комплексе регионов, делают участие в научно-исследовательских процессах изучения комплексной оценки и диагностики социально-экономической привлекательности регионов на тот или иной исторический момент времени жизненно необходимым.</w:t>
      </w:r>
    </w:p>
    <w:p w:rsidR="00EA125D" w:rsidRPr="00BA321C" w:rsidRDefault="00EA125D"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Основные принципы и закономерности развития и размещения производительных сил выражаются и формируются в результате происходящих в экономических системах социально-экономических преобразований, обусловленных </w:t>
      </w:r>
      <w:r w:rsidR="004629EA" w:rsidRPr="00BA321C">
        <w:rPr>
          <w:rFonts w:ascii="Times New Roman" w:hAnsi="Times New Roman"/>
          <w:sz w:val="28"/>
          <w:szCs w:val="28"/>
        </w:rPr>
        <w:t>многообразием факторов</w:t>
      </w:r>
      <w:r w:rsidR="006977D7" w:rsidRPr="00BA321C">
        <w:rPr>
          <w:rFonts w:ascii="Times New Roman" w:hAnsi="Times New Roman"/>
          <w:sz w:val="28"/>
          <w:szCs w:val="28"/>
        </w:rPr>
        <w:t>.</w:t>
      </w:r>
    </w:p>
    <w:p w:rsidR="009B0CE7" w:rsidRPr="00BA321C" w:rsidRDefault="009B0F2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Таким образом, можно предположить, что указанные факторы определяют характер и принципы развития производительных сил с учетом происходящих в экономике социальных и экономических тенденций, а также преобразований. При этом рассматриваемые факторы в достаточной степени динамичны и подвержены трансформации и изменениям в результате происходящих социальных, экономических и </w:t>
      </w:r>
      <w:r w:rsidR="00450177" w:rsidRPr="00BA321C">
        <w:rPr>
          <w:rFonts w:ascii="Times New Roman" w:hAnsi="Times New Roman"/>
          <w:sz w:val="28"/>
          <w:szCs w:val="28"/>
        </w:rPr>
        <w:t xml:space="preserve">институциональных </w:t>
      </w:r>
      <w:r w:rsidRPr="00BA321C">
        <w:rPr>
          <w:rFonts w:ascii="Times New Roman" w:hAnsi="Times New Roman"/>
          <w:sz w:val="28"/>
          <w:szCs w:val="28"/>
        </w:rPr>
        <w:t xml:space="preserve">процессов, стратегических ориентиров развития экономики. </w:t>
      </w:r>
    </w:p>
    <w:p w:rsidR="00743823" w:rsidRPr="00BA321C" w:rsidRDefault="0074382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долгосрочной перспективе развития изменчивость социально-экономических факторов предопределяет структурные трансформации в национальной и региональных экономических системах, в том числе, процессы преобразования производительных сил. </w:t>
      </w:r>
      <w:r w:rsidR="003C6E58" w:rsidRPr="00BA321C">
        <w:rPr>
          <w:rFonts w:ascii="Times New Roman" w:hAnsi="Times New Roman"/>
          <w:sz w:val="28"/>
          <w:szCs w:val="28"/>
        </w:rPr>
        <w:t>К примеру</w:t>
      </w:r>
      <w:r w:rsidR="003A4721" w:rsidRPr="00BA321C">
        <w:rPr>
          <w:rFonts w:ascii="Times New Roman" w:hAnsi="Times New Roman"/>
          <w:sz w:val="28"/>
          <w:szCs w:val="28"/>
        </w:rPr>
        <w:t>,</w:t>
      </w:r>
      <w:r w:rsidR="003C6E58" w:rsidRPr="00BA321C">
        <w:rPr>
          <w:rFonts w:ascii="Times New Roman" w:hAnsi="Times New Roman"/>
          <w:sz w:val="28"/>
          <w:szCs w:val="28"/>
        </w:rPr>
        <w:t xml:space="preserve"> невозможно предположить, что, дисбаланс в сфере формирования научного потенциала того или иного региона будет определять равномерность развития и размещения наукоемких производств в региональном разрезе. Равно как и невозможно </w:t>
      </w:r>
      <w:r w:rsidR="009C4EF3" w:rsidRPr="00BA321C">
        <w:rPr>
          <w:rFonts w:ascii="Times New Roman" w:hAnsi="Times New Roman"/>
          <w:sz w:val="28"/>
          <w:szCs w:val="28"/>
        </w:rPr>
        <w:t xml:space="preserve">не </w:t>
      </w:r>
      <w:r w:rsidR="003C6E58" w:rsidRPr="00BA321C">
        <w:rPr>
          <w:rFonts w:ascii="Times New Roman" w:hAnsi="Times New Roman"/>
          <w:sz w:val="28"/>
          <w:szCs w:val="28"/>
        </w:rPr>
        <w:t xml:space="preserve">предположить, что различия в социальной </w:t>
      </w:r>
      <w:r w:rsidR="00450177" w:rsidRPr="00BA321C">
        <w:rPr>
          <w:rFonts w:ascii="Times New Roman" w:hAnsi="Times New Roman"/>
          <w:sz w:val="28"/>
          <w:szCs w:val="28"/>
        </w:rPr>
        <w:t xml:space="preserve">и/или институциональной </w:t>
      </w:r>
      <w:r w:rsidR="003C6E58" w:rsidRPr="00BA321C">
        <w:rPr>
          <w:rFonts w:ascii="Times New Roman" w:hAnsi="Times New Roman"/>
          <w:sz w:val="28"/>
          <w:szCs w:val="28"/>
        </w:rPr>
        <w:t>среде регионов не окажут соответствующего влияния на развитие экономических процессов, генерирующих, в свою очередь, структурные элементы производительных сил.</w:t>
      </w:r>
    </w:p>
    <w:p w:rsidR="00743823" w:rsidRPr="00BA321C" w:rsidRDefault="00FA1C2B"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Исходя из вышеизложенного </w:t>
      </w:r>
      <w:r w:rsidR="003872DB" w:rsidRPr="00BA321C">
        <w:rPr>
          <w:rFonts w:ascii="Times New Roman" w:hAnsi="Times New Roman"/>
          <w:sz w:val="28"/>
          <w:szCs w:val="28"/>
        </w:rPr>
        <w:t xml:space="preserve">напрашивается логически обоснованный вывод о том, что изучение вопросов </w:t>
      </w:r>
      <w:r w:rsidR="00450177" w:rsidRPr="00BA321C">
        <w:rPr>
          <w:rFonts w:ascii="Times New Roman" w:hAnsi="Times New Roman"/>
          <w:sz w:val="28"/>
          <w:szCs w:val="28"/>
        </w:rPr>
        <w:t xml:space="preserve">организационно-экономического </w:t>
      </w:r>
      <w:r w:rsidR="003872DB" w:rsidRPr="00BA321C">
        <w:rPr>
          <w:rFonts w:ascii="Times New Roman" w:hAnsi="Times New Roman"/>
          <w:sz w:val="28"/>
          <w:szCs w:val="28"/>
        </w:rPr>
        <w:t xml:space="preserve">развития и размещения производительных сил, в том числе и в пространственном аспекте, необходимо осуществлять через призму познания факторов, генерирующих структурные преобразования в социально-экономической и политической среде. </w:t>
      </w:r>
    </w:p>
    <w:p w:rsidR="00BE1746" w:rsidRPr="00BA321C" w:rsidRDefault="000E5EC2"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Таким образом возникает проблема идентификации данных факторов, их количественной оценки во времени и механизмов их моделирования. </w:t>
      </w:r>
      <w:r w:rsidR="008A3872" w:rsidRPr="00BA321C">
        <w:rPr>
          <w:rFonts w:ascii="Times New Roman" w:hAnsi="Times New Roman"/>
          <w:sz w:val="28"/>
          <w:szCs w:val="28"/>
        </w:rPr>
        <w:t xml:space="preserve">Реализация данного этапа работ нашла свое отражение в многочисленных научных и практико-ориентированных трудах отечественных и зарубежных ученых. Значительный импульс подобного рода исследования в России получили </w:t>
      </w:r>
      <w:r w:rsidR="00BE1746" w:rsidRPr="00BA321C">
        <w:rPr>
          <w:rFonts w:ascii="Times New Roman" w:hAnsi="Times New Roman"/>
          <w:sz w:val="28"/>
          <w:szCs w:val="28"/>
        </w:rPr>
        <w:t xml:space="preserve">благодаря развернувшемуся в 2008 году финансовому кризису, что </w:t>
      </w:r>
      <w:r w:rsidR="00BE1746" w:rsidRPr="00BA321C">
        <w:rPr>
          <w:rFonts w:ascii="Times New Roman" w:hAnsi="Times New Roman"/>
          <w:sz w:val="28"/>
          <w:szCs w:val="28"/>
        </w:rPr>
        <w:lastRenderedPageBreak/>
        <w:t>подтолкнуло к внедрению на практике научно</w:t>
      </w:r>
      <w:r w:rsidR="00450177" w:rsidRPr="00BA321C">
        <w:rPr>
          <w:rFonts w:ascii="Times New Roman" w:hAnsi="Times New Roman"/>
          <w:sz w:val="28"/>
          <w:szCs w:val="28"/>
        </w:rPr>
        <w:t xml:space="preserve"> - </w:t>
      </w:r>
      <w:r w:rsidR="00BE1746" w:rsidRPr="00BA321C">
        <w:rPr>
          <w:rFonts w:ascii="Times New Roman" w:hAnsi="Times New Roman"/>
          <w:sz w:val="28"/>
          <w:szCs w:val="28"/>
        </w:rPr>
        <w:t>обоснованных оптимизационных моделей развития региональных хозяйственных систем. К примеру, на протяжении последних посткризисных лет органами государственной власти, экспертными бюро и институтами были разработаны такие стратегические документы, как:</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Мониторинг социально-экономического положения регионов, на территории которых находятся особые экономические зоны (Федеральное агентство по управлению особыми экономическими зонами);</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Мониторинг социально-экономического развития субъектов Российской Федерации (Министерство регионального развития Российской Федерации);</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Оценка социально-экономического и финансового положения регионов России (рейтингового агентства «Эксперт РА»);</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Социально-экономическое положение российских регионов: методические подходы и результаты комплексной оценки (Федеральное государственное бюджетное научно-исследовательское учреждение «Совет по изучению производительных сил»);</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 т. п.</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 сожалению, преобладающая часть работ, выполненных в период с 2008 по 201</w:t>
      </w:r>
      <w:r w:rsidR="003A4721" w:rsidRPr="00BA321C">
        <w:rPr>
          <w:rFonts w:ascii="Times New Roman" w:hAnsi="Times New Roman"/>
          <w:sz w:val="28"/>
          <w:szCs w:val="28"/>
        </w:rPr>
        <w:t>4</w:t>
      </w:r>
      <w:r w:rsidRPr="00BA321C">
        <w:rPr>
          <w:rFonts w:ascii="Times New Roman" w:hAnsi="Times New Roman"/>
          <w:sz w:val="28"/>
          <w:szCs w:val="28"/>
        </w:rPr>
        <w:t>гг. не получила должного развития и характеризуется фрагментарностью изучаемых процессов во времени. Более того, обзор и анализ используемых в работах методических подходов к комплексной оценке социально-экономического развития регионов характеризуют отсутствие единства взглядов на систему мониторинга.</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Основной методологической проблемой здесь выступает разобщенность взглядов относительно системы факторов, лежащих в основе анализа регионального развития. Помимо этого</w:t>
      </w:r>
      <w:r w:rsidR="003A4721" w:rsidRPr="00BA321C">
        <w:rPr>
          <w:rFonts w:ascii="Times New Roman" w:hAnsi="Times New Roman"/>
          <w:sz w:val="28"/>
          <w:szCs w:val="28"/>
        </w:rPr>
        <w:t>,</w:t>
      </w:r>
      <w:r w:rsidRPr="00BA321C">
        <w:rPr>
          <w:rFonts w:ascii="Times New Roman" w:hAnsi="Times New Roman"/>
          <w:sz w:val="28"/>
          <w:szCs w:val="28"/>
        </w:rPr>
        <w:t xml:space="preserve"> к числу нерешенных методологических проблем относят [</w:t>
      </w:r>
      <w:r w:rsidR="00804176" w:rsidRPr="00BA321C">
        <w:rPr>
          <w:rFonts w:ascii="Times New Roman" w:hAnsi="Times New Roman"/>
          <w:sz w:val="28"/>
          <w:szCs w:val="28"/>
        </w:rPr>
        <w:t>36</w:t>
      </w:r>
      <w:r w:rsidRPr="00BA321C">
        <w:rPr>
          <w:rFonts w:ascii="Times New Roman" w:hAnsi="Times New Roman"/>
          <w:sz w:val="28"/>
          <w:szCs w:val="28"/>
        </w:rPr>
        <w:t>]:</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 недостаточную проработанность специфических методов расчета отдельных базовых индикаторов (в том числе стоимостных и </w:t>
      </w:r>
      <w:r w:rsidRPr="00BA321C">
        <w:rPr>
          <w:rFonts w:ascii="Times New Roman" w:hAnsi="Times New Roman"/>
          <w:sz w:val="28"/>
          <w:szCs w:val="28"/>
        </w:rPr>
        <w:lastRenderedPageBreak/>
        <w:t>сложносоставных), позволяющих наиболее адекватно описать содержание оцениваемых компонентов (факторов) социально-экономического положения регионов, дать им однозначную качественную характеристику и достоверную количественную оценку;</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 отсутствие четкой иерархии используемых показателей в системе интегральной оценки; </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отсутствие обоснований выбора наиболее точных методов интегрированной (синтетической) оценки социально-экономического положения регионов, включающих обоснование процедур синтеза базовых оценочных индикаторов и форм представления получаемых интегральных показателей и некоторые другие.</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Таким образом, можно утверждать, что на сегодняшний момент времени не сформирована единая методологическая база изучения и диагностики социально-экономического положения регионов. В этих условиях крайне важным представляется разработка научно-методической базы</w:t>
      </w:r>
      <w:r w:rsidR="008A3872" w:rsidRPr="00BA321C">
        <w:rPr>
          <w:rFonts w:ascii="Times New Roman" w:hAnsi="Times New Roman"/>
          <w:sz w:val="28"/>
          <w:szCs w:val="28"/>
        </w:rPr>
        <w:t>,</w:t>
      </w:r>
      <w:r w:rsidRPr="00BA321C">
        <w:rPr>
          <w:rFonts w:ascii="Times New Roman" w:hAnsi="Times New Roman"/>
          <w:sz w:val="28"/>
          <w:szCs w:val="28"/>
        </w:rPr>
        <w:t xml:space="preserve"> отвечающей требованиям ее практической реализуемости, а также комплексностью и согласованностью ее принципов и подходов среди взглядов представителей экономической мысли различных научных школ и направлений. При этом данная научно-методическая база</w:t>
      </w:r>
      <w:r w:rsidR="008A3872" w:rsidRPr="00BA321C">
        <w:rPr>
          <w:rFonts w:ascii="Times New Roman" w:hAnsi="Times New Roman"/>
          <w:sz w:val="28"/>
          <w:szCs w:val="28"/>
        </w:rPr>
        <w:t>, в контексте изучаемого в диссертационной работе объекта исследования,</w:t>
      </w:r>
      <w:r w:rsidRPr="00BA321C">
        <w:rPr>
          <w:rFonts w:ascii="Times New Roman" w:hAnsi="Times New Roman"/>
          <w:sz w:val="28"/>
          <w:szCs w:val="28"/>
        </w:rPr>
        <w:t xml:space="preserve"> должна отвечать следующим принципам:</w:t>
      </w:r>
    </w:p>
    <w:p w:rsidR="008A3872"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 </w:t>
      </w:r>
      <w:r w:rsidR="00736190" w:rsidRPr="00BA321C">
        <w:rPr>
          <w:rFonts w:ascii="Times New Roman" w:hAnsi="Times New Roman"/>
          <w:sz w:val="28"/>
          <w:szCs w:val="28"/>
        </w:rPr>
        <w:t>репрезентативность факторов, лежащих в основе комплексного анализа и диагностики;</w:t>
      </w:r>
    </w:p>
    <w:p w:rsidR="00BE1746" w:rsidRPr="00BA321C" w:rsidRDefault="008A3872"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 </w:t>
      </w:r>
      <w:r w:rsidR="00BE1746" w:rsidRPr="00BA321C">
        <w:rPr>
          <w:rFonts w:ascii="Times New Roman" w:hAnsi="Times New Roman"/>
          <w:sz w:val="28"/>
          <w:szCs w:val="28"/>
        </w:rPr>
        <w:t>единство факторов, используемых при оценке социально-экономического развития региональных систем;</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иерархичность системы интегральных оценок групповых однородных показателей, отражающих качество и эффективность развития отдельных составляющих соц</w:t>
      </w:r>
      <w:r w:rsidR="00736190" w:rsidRPr="00BA321C">
        <w:rPr>
          <w:rFonts w:ascii="Times New Roman" w:hAnsi="Times New Roman"/>
          <w:sz w:val="28"/>
          <w:szCs w:val="28"/>
        </w:rPr>
        <w:t>иально-экономического положения.</w:t>
      </w:r>
    </w:p>
    <w:p w:rsidR="0082141A" w:rsidRPr="00BA321C" w:rsidRDefault="000945C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Вместе с тем при изучении вопросов о том, какие факторы и в какой степени оказывают воздействие на процессы организационно-экономического </w:t>
      </w:r>
      <w:r w:rsidRPr="00BA321C">
        <w:rPr>
          <w:rFonts w:ascii="Times New Roman" w:hAnsi="Times New Roman"/>
          <w:sz w:val="28"/>
          <w:szCs w:val="28"/>
        </w:rPr>
        <w:lastRenderedPageBreak/>
        <w:t xml:space="preserve">управления и развития региональных производительных сил, необходимо учитывать объект исследования. Это означает, что было бы не правильно руководствоваться при разработке и обосновании стратегических решений относительно эффективного развития производительных сил факторными оценками, включающими в себя разносторонний спектр показателей социально-экономического развития региона. Это связано, в первую очередь, с тем, что </w:t>
      </w:r>
      <w:r w:rsidR="00471CCC" w:rsidRPr="00BA321C">
        <w:rPr>
          <w:rFonts w:ascii="Times New Roman" w:hAnsi="Times New Roman"/>
          <w:sz w:val="28"/>
          <w:szCs w:val="28"/>
        </w:rPr>
        <w:t xml:space="preserve">состав факторов должен точно соответствовать объекту исследования, подвергающемуся воздействию в результате их трансформации и корректировок. К примеру, было бы не </w:t>
      </w:r>
      <w:r w:rsidR="000D4C49" w:rsidRPr="00BA321C">
        <w:rPr>
          <w:rFonts w:ascii="Times New Roman" w:hAnsi="Times New Roman"/>
          <w:sz w:val="28"/>
          <w:szCs w:val="28"/>
        </w:rPr>
        <w:t>верно</w:t>
      </w:r>
      <w:r w:rsidR="00471CCC" w:rsidRPr="00BA321C">
        <w:rPr>
          <w:rFonts w:ascii="Times New Roman" w:hAnsi="Times New Roman"/>
          <w:sz w:val="28"/>
          <w:szCs w:val="28"/>
        </w:rPr>
        <w:t xml:space="preserve"> и в не достаточной степени обосновано использование в модели социально-экономической привлекательности региона с позиции размещения на его территории производительных сил показателей</w:t>
      </w:r>
      <w:r w:rsidR="002020A8" w:rsidRPr="00BA321C">
        <w:rPr>
          <w:rFonts w:ascii="Times New Roman" w:hAnsi="Times New Roman"/>
          <w:sz w:val="28"/>
          <w:szCs w:val="28"/>
        </w:rPr>
        <w:t xml:space="preserve"> бюджетной эффективности,</w:t>
      </w:r>
      <w:r w:rsidR="00471CCC" w:rsidRPr="00BA321C">
        <w:rPr>
          <w:rFonts w:ascii="Times New Roman" w:hAnsi="Times New Roman"/>
          <w:sz w:val="28"/>
          <w:szCs w:val="28"/>
        </w:rPr>
        <w:t xml:space="preserve"> </w:t>
      </w:r>
      <w:r w:rsidR="002020A8" w:rsidRPr="00BA321C">
        <w:rPr>
          <w:rFonts w:ascii="Times New Roman" w:hAnsi="Times New Roman"/>
          <w:sz w:val="28"/>
          <w:szCs w:val="28"/>
        </w:rPr>
        <w:t xml:space="preserve">поскольку они не определяют прямым образом перспективы и эффективность развития производительных сил. Необходимо учитывать лишь те факторы, которые с одной стороны характеризуют текущую эффективность организационно-экономического управления производительных сил, а с другой определяют потенциал и перспективы их развития в соответствии с </w:t>
      </w:r>
      <w:r w:rsidR="007421F0" w:rsidRPr="00BA321C">
        <w:rPr>
          <w:rFonts w:ascii="Times New Roman" w:hAnsi="Times New Roman"/>
          <w:sz w:val="28"/>
          <w:szCs w:val="28"/>
        </w:rPr>
        <w:t>прогрессивными сдвигами технологических укладов в мировой экономике.</w:t>
      </w:r>
      <w:r w:rsidR="000D4C49" w:rsidRPr="00BA321C">
        <w:rPr>
          <w:rFonts w:ascii="Times New Roman" w:hAnsi="Times New Roman"/>
          <w:sz w:val="28"/>
          <w:szCs w:val="28"/>
        </w:rPr>
        <w:t xml:space="preserve"> </w:t>
      </w:r>
      <w:r w:rsidR="00570DDA" w:rsidRPr="00BA321C">
        <w:rPr>
          <w:rFonts w:ascii="Times New Roman" w:hAnsi="Times New Roman"/>
          <w:sz w:val="28"/>
          <w:szCs w:val="28"/>
        </w:rPr>
        <w:t xml:space="preserve">Вместе с тем </w:t>
      </w:r>
      <w:r w:rsidR="004C1B82" w:rsidRPr="00BA321C">
        <w:rPr>
          <w:rFonts w:ascii="Times New Roman" w:hAnsi="Times New Roman"/>
          <w:sz w:val="28"/>
          <w:szCs w:val="28"/>
        </w:rPr>
        <w:t xml:space="preserve">необходимо констатировать, что современные методические разработки определения индексов социально-экономического положения регионов отражают сугубо текущие настройки региональных систем и не учитывают оценку потенциалов их развития. </w:t>
      </w:r>
      <w:r w:rsidR="007421F0" w:rsidRPr="00BA321C">
        <w:rPr>
          <w:rFonts w:ascii="Times New Roman" w:hAnsi="Times New Roman"/>
          <w:sz w:val="28"/>
          <w:szCs w:val="28"/>
        </w:rPr>
        <w:t xml:space="preserve">Таким образом </w:t>
      </w:r>
      <w:r w:rsidR="00CE1CFD" w:rsidRPr="00BA321C">
        <w:rPr>
          <w:rFonts w:ascii="Times New Roman" w:hAnsi="Times New Roman"/>
          <w:sz w:val="28"/>
          <w:szCs w:val="28"/>
        </w:rPr>
        <w:t>имеющее место многообразие методологических подходов к оценке социально-экономического положения регионов не может использоваться в качестве базовой основы для решения научно-методологических вопросов идентификации социально-экономической привлекательности регионов в контексте изучения концепций о развитии и размещении производительных сил. Требуется идентификация «точечных» факторов, раскрывающих текущие и перспективные особенности организационно-экономического развития региональных производственных элементов</w:t>
      </w:r>
      <w:r w:rsidR="0082141A" w:rsidRPr="00BA321C">
        <w:rPr>
          <w:rFonts w:ascii="Times New Roman" w:hAnsi="Times New Roman"/>
          <w:sz w:val="28"/>
          <w:szCs w:val="28"/>
        </w:rPr>
        <w:t xml:space="preserve"> и исключающих факторы-шумы, </w:t>
      </w:r>
      <w:r w:rsidR="0082141A" w:rsidRPr="00BA321C">
        <w:rPr>
          <w:rFonts w:ascii="Times New Roman" w:hAnsi="Times New Roman"/>
          <w:sz w:val="28"/>
          <w:szCs w:val="28"/>
        </w:rPr>
        <w:lastRenderedPageBreak/>
        <w:t>не имеющие прямого отношения к объекту исследования (авторское обоснование системы факторов представлена в первой главе диссертационной работы)</w:t>
      </w:r>
      <w:r w:rsidR="00CE1CFD" w:rsidRPr="00BA321C">
        <w:rPr>
          <w:rFonts w:ascii="Times New Roman" w:hAnsi="Times New Roman"/>
          <w:sz w:val="28"/>
          <w:szCs w:val="28"/>
        </w:rPr>
        <w:t xml:space="preserve">. </w:t>
      </w:r>
      <w:r w:rsidR="00582BF0" w:rsidRPr="00BA321C">
        <w:rPr>
          <w:rFonts w:ascii="Times New Roman" w:hAnsi="Times New Roman"/>
          <w:sz w:val="28"/>
          <w:szCs w:val="28"/>
        </w:rPr>
        <w:t xml:space="preserve">Вместе с тем учитывая «близость» </w:t>
      </w:r>
      <w:r w:rsidR="0082141A" w:rsidRPr="00BA321C">
        <w:rPr>
          <w:rFonts w:ascii="Times New Roman" w:hAnsi="Times New Roman"/>
          <w:sz w:val="28"/>
          <w:szCs w:val="28"/>
        </w:rPr>
        <w:t xml:space="preserve">предлагаемого в настоящем исследовании подхода к оценке социально-экономической привлекательности региона и методологических подходов, получивших широкое распространение при определении рейтингов социально-экономического положения рейтингов РФ, изучение последних представляется весьма актуальным направлением. </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Систематизируя работы научно-исследовательских коллективов, посвященные вопросам оценки социально-экономического положения регионов и перспектив развития их производительных сил, можно отметить работу авторов И.В. Гришина, А.О. Полынева. Данная работа была осуществлена в 2011 году по заказу Министерства экономического развития Российской Федерации. Она, по нашему мнению, наиболее полно отражает сущность выдвинутых нами принципов и наиболее разносторонне вбирает в себя различные подходы и взгляды ученых в области экономики. В ее основе, лежит разработка интегральной оценки социально-экономического развития регионов, структура которой состоит из 16 факторных разномерных показателей, объединенных в четыре однородных группы (Рисунок </w:t>
      </w:r>
      <w:r w:rsidR="007E35C2" w:rsidRPr="00BA321C">
        <w:rPr>
          <w:rFonts w:ascii="Times New Roman" w:hAnsi="Times New Roman"/>
          <w:sz w:val="28"/>
          <w:szCs w:val="28"/>
        </w:rPr>
        <w:t>2.1.</w:t>
      </w:r>
      <w:r w:rsidRPr="00BA321C">
        <w:rPr>
          <w:rFonts w:ascii="Times New Roman" w:hAnsi="Times New Roman"/>
          <w:sz w:val="28"/>
          <w:szCs w:val="28"/>
        </w:rPr>
        <w:t>1):</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1) воспроизводственный процесс в регионе; </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2) инновационно-инфраструктурный потенциал региона; </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3) инвестиционно-финансовый потенциал региона;</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4) состояние социальной сферы региона.</w:t>
      </w:r>
    </w:p>
    <w:p w:rsidR="00BE1746" w:rsidRPr="00BA321C" w:rsidRDefault="00F02869"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noProof/>
          <w:sz w:val="28"/>
          <w:szCs w:val="28"/>
          <w:lang w:eastAsia="ru-RU"/>
        </w:rPr>
        <w:lastRenderedPageBreak/>
        <w:drawing>
          <wp:inline distT="0" distB="0" distL="0" distR="0" wp14:anchorId="3ADEA32D" wp14:editId="0A26CF0A">
            <wp:extent cx="4867275" cy="3457575"/>
            <wp:effectExtent l="0" t="0" r="9525" b="9525"/>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67275" cy="3457575"/>
                    </a:xfrm>
                    <a:prstGeom prst="rect">
                      <a:avLst/>
                    </a:prstGeom>
                    <a:noFill/>
                    <a:ln>
                      <a:noFill/>
                    </a:ln>
                  </pic:spPr>
                </pic:pic>
              </a:graphicData>
            </a:graphic>
          </wp:inline>
        </w:drawing>
      </w:r>
    </w:p>
    <w:p w:rsidR="003A4721" w:rsidRPr="00BA321C" w:rsidRDefault="003A4721"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Рисунок 2.1</w:t>
      </w:r>
      <w:r w:rsidR="007E35C2" w:rsidRPr="00BA321C">
        <w:rPr>
          <w:rFonts w:ascii="Times New Roman" w:hAnsi="Times New Roman"/>
          <w:sz w:val="28"/>
          <w:szCs w:val="28"/>
        </w:rPr>
        <w:t>.1</w:t>
      </w:r>
      <w:r w:rsidRPr="00BA321C">
        <w:rPr>
          <w:rFonts w:ascii="Times New Roman" w:hAnsi="Times New Roman"/>
          <w:sz w:val="28"/>
          <w:szCs w:val="28"/>
        </w:rPr>
        <w:t xml:space="preserve"> – Интегральный индекс социально-экономического положения региона [36]</w:t>
      </w:r>
    </w:p>
    <w:p w:rsidR="00BE1746" w:rsidRPr="00BA321C" w:rsidRDefault="00BE1746"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По мнению авторов разработанной методологии, содержание указанных факторов, объединенных в блоки, характеризуют весь спектр значимых компонентов социально-экономического положения субъектов Российской Федерации. Действительно тяжело возразить авторам относительно подбора факторов, как в научно-исследовательском, так и в прикладном аспектах познания процесса. Вместе с тем, на наш взгляд, данная методология, несмотря на всю ее полноту и комплексность, нуждается в дополнении. </w:t>
      </w:r>
    </w:p>
    <w:p w:rsidR="0008377E" w:rsidRPr="00BA321C" w:rsidRDefault="009C4EF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Вопросами изучения и оценки факторов социально-экономического развития экономических систем в свое время занимались </w:t>
      </w:r>
      <w:r w:rsidR="0008776E" w:rsidRPr="00BA321C">
        <w:rPr>
          <w:rFonts w:ascii="Times New Roman" w:hAnsi="Times New Roman"/>
          <w:sz w:val="28"/>
          <w:szCs w:val="28"/>
        </w:rPr>
        <w:t xml:space="preserve">и </w:t>
      </w:r>
      <w:r w:rsidRPr="00BA321C">
        <w:rPr>
          <w:rFonts w:ascii="Times New Roman" w:hAnsi="Times New Roman"/>
          <w:sz w:val="28"/>
          <w:szCs w:val="28"/>
        </w:rPr>
        <w:t xml:space="preserve">многие </w:t>
      </w:r>
      <w:r w:rsidR="0008776E" w:rsidRPr="00BA321C">
        <w:rPr>
          <w:rFonts w:ascii="Times New Roman" w:hAnsi="Times New Roman"/>
          <w:sz w:val="28"/>
          <w:szCs w:val="28"/>
        </w:rPr>
        <w:t xml:space="preserve">другие </w:t>
      </w:r>
      <w:r w:rsidRPr="00BA321C">
        <w:rPr>
          <w:rFonts w:ascii="Times New Roman" w:hAnsi="Times New Roman"/>
          <w:sz w:val="28"/>
          <w:szCs w:val="28"/>
        </w:rPr>
        <w:t xml:space="preserve">экономисты. При этом более подробно хочется остановиться на трудах </w:t>
      </w:r>
      <w:r w:rsidR="00026F62" w:rsidRPr="00BA321C">
        <w:rPr>
          <w:rFonts w:ascii="Times New Roman" w:hAnsi="Times New Roman"/>
          <w:sz w:val="28"/>
          <w:szCs w:val="28"/>
        </w:rPr>
        <w:t xml:space="preserve">и подходах </w:t>
      </w:r>
      <w:r w:rsidRPr="00BA321C">
        <w:rPr>
          <w:rFonts w:ascii="Times New Roman" w:hAnsi="Times New Roman"/>
          <w:sz w:val="28"/>
          <w:szCs w:val="28"/>
        </w:rPr>
        <w:t>отечественных авторов</w:t>
      </w:r>
      <w:r w:rsidR="00026F62" w:rsidRPr="00BA321C">
        <w:rPr>
          <w:rFonts w:ascii="Times New Roman" w:hAnsi="Times New Roman"/>
          <w:sz w:val="28"/>
          <w:szCs w:val="28"/>
        </w:rPr>
        <w:t xml:space="preserve"> и авторских коллективов</w:t>
      </w:r>
      <w:r w:rsidRPr="00BA321C">
        <w:rPr>
          <w:rFonts w:ascii="Times New Roman" w:hAnsi="Times New Roman"/>
          <w:sz w:val="28"/>
          <w:szCs w:val="28"/>
        </w:rPr>
        <w:t xml:space="preserve">. </w:t>
      </w:r>
    </w:p>
    <w:p w:rsidR="0008377E" w:rsidRPr="00BA321C" w:rsidRDefault="00026F62"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подавляющем большинстве случаев анализ факторов сводится к определению интегральной оценки социально-экономической эффективности отдельных регионов или экономических систем. К примеру, Министерством экономики РФ с 1996 года рассчитывается рейтинг </w:t>
      </w:r>
      <w:r w:rsidR="006A322D" w:rsidRPr="00BA321C">
        <w:rPr>
          <w:rFonts w:ascii="Times New Roman" w:hAnsi="Times New Roman"/>
          <w:sz w:val="28"/>
          <w:szCs w:val="28"/>
        </w:rPr>
        <w:t xml:space="preserve">социально-экономической </w:t>
      </w:r>
      <w:r w:rsidR="006A322D" w:rsidRPr="00BA321C">
        <w:rPr>
          <w:rFonts w:ascii="Times New Roman" w:hAnsi="Times New Roman"/>
          <w:sz w:val="28"/>
          <w:szCs w:val="28"/>
        </w:rPr>
        <w:lastRenderedPageBreak/>
        <w:t>эффективности развития регионов. В основе комплексной оценки положены показатели, характеризующие как социальные</w:t>
      </w:r>
      <w:r w:rsidR="006B1541" w:rsidRPr="00BA321C">
        <w:rPr>
          <w:rFonts w:ascii="Times New Roman" w:hAnsi="Times New Roman"/>
          <w:sz w:val="28"/>
          <w:szCs w:val="28"/>
        </w:rPr>
        <w:t xml:space="preserve"> (</w:t>
      </w:r>
      <w:r w:rsidR="00C44B74" w:rsidRPr="00BA321C">
        <w:rPr>
          <w:rFonts w:ascii="Times New Roman" w:hAnsi="Times New Roman"/>
          <w:sz w:val="28"/>
          <w:szCs w:val="28"/>
        </w:rPr>
        <w:t>уровень безработицы; обеспеченность жильем;</w:t>
      </w:r>
      <w:r w:rsidR="006B1541" w:rsidRPr="00BA321C">
        <w:rPr>
          <w:rFonts w:ascii="Times New Roman" w:hAnsi="Times New Roman"/>
          <w:sz w:val="28"/>
          <w:szCs w:val="28"/>
        </w:rPr>
        <w:t>обеспеченность образовательными учреждениями; обеспеченность детскими дошкольными учреждениями и т. п.)</w:t>
      </w:r>
      <w:r w:rsidR="006A322D" w:rsidRPr="00BA321C">
        <w:rPr>
          <w:rFonts w:ascii="Times New Roman" w:hAnsi="Times New Roman"/>
          <w:sz w:val="28"/>
          <w:szCs w:val="28"/>
        </w:rPr>
        <w:t>, так и экономические аспекты регионального развития</w:t>
      </w:r>
      <w:r w:rsidR="006B1541" w:rsidRPr="00BA321C">
        <w:rPr>
          <w:rFonts w:ascii="Times New Roman" w:hAnsi="Times New Roman"/>
          <w:sz w:val="28"/>
          <w:szCs w:val="28"/>
        </w:rPr>
        <w:t xml:space="preserve"> (ВРП на душу населения; индекс промышленного производства и т. п.)</w:t>
      </w:r>
      <w:r w:rsidR="006A322D" w:rsidRPr="00BA321C">
        <w:rPr>
          <w:rFonts w:ascii="Times New Roman" w:hAnsi="Times New Roman"/>
          <w:sz w:val="28"/>
          <w:szCs w:val="28"/>
        </w:rPr>
        <w:t xml:space="preserve">. </w:t>
      </w:r>
      <w:r w:rsidR="006B1541" w:rsidRPr="00BA321C">
        <w:rPr>
          <w:rFonts w:ascii="Times New Roman" w:hAnsi="Times New Roman"/>
          <w:sz w:val="28"/>
          <w:szCs w:val="28"/>
        </w:rPr>
        <w:t xml:space="preserve">Основным недостатком разработанной методики является то, что в ней не указывается необходимость на поэлементный анализ и сопоставление факторов, характеризующих отдельно социальные и экономические аспекты развития. Методические подходы здесь концентрируются на определении интегрального индекса, </w:t>
      </w:r>
      <w:r w:rsidR="00035DFA" w:rsidRPr="00BA321C">
        <w:rPr>
          <w:rFonts w:ascii="Times New Roman" w:hAnsi="Times New Roman"/>
          <w:sz w:val="28"/>
          <w:szCs w:val="28"/>
        </w:rPr>
        <w:t xml:space="preserve">в то время как важным, по нашему мнению, представляется дифференциальный анализ факторов. Особую актуальность данное предположение приобретает в условиях определения факторов, способствующих эффективному и ситуационному развитию и размещению производительных сил. </w:t>
      </w:r>
    </w:p>
    <w:p w:rsidR="00D31238" w:rsidRPr="00BA321C" w:rsidRDefault="00D3123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Аналогичным образом характеризуется ситуация и в методических подходах, используемых в Министерстве регионального развития Российской Федерации</w:t>
      </w:r>
      <w:r w:rsidR="000934E9" w:rsidRPr="00BA321C">
        <w:rPr>
          <w:rStyle w:val="ac"/>
          <w:rFonts w:ascii="Times New Roman" w:hAnsi="Times New Roman"/>
          <w:sz w:val="28"/>
          <w:szCs w:val="28"/>
        </w:rPr>
        <w:footnoteReference w:id="1"/>
      </w:r>
      <w:r w:rsidRPr="00BA321C">
        <w:rPr>
          <w:rFonts w:ascii="Times New Roman" w:hAnsi="Times New Roman"/>
          <w:sz w:val="28"/>
          <w:szCs w:val="28"/>
        </w:rPr>
        <w:t xml:space="preserve">. Несмотря на явные достоинства методики исследования, основывающейся на оценке и анализе большой совокупности факторов, учитывающих социальный и экономический аспекты регионального развития, упор осуществляется на определение интегрального показателя. Это, по нашему мнению, не позволяет в явной форме и однозначно интерпретировать причины </w:t>
      </w:r>
      <w:r w:rsidR="00D83C59" w:rsidRPr="00BA321C">
        <w:rPr>
          <w:rFonts w:ascii="Times New Roman" w:hAnsi="Times New Roman"/>
          <w:sz w:val="28"/>
          <w:szCs w:val="28"/>
        </w:rPr>
        <w:t>дифференциации в социально-экономическом развитии территориальных систем</w:t>
      </w:r>
      <w:r w:rsidR="003A4721" w:rsidRPr="00BA321C">
        <w:rPr>
          <w:rFonts w:ascii="Times New Roman" w:hAnsi="Times New Roman"/>
          <w:sz w:val="28"/>
          <w:szCs w:val="28"/>
        </w:rPr>
        <w:t xml:space="preserve"> и тем самым определять наиболее перспективные вектора развития производительных сил в соответствии с формирующейся институциональной и конъюнктурной средой</w:t>
      </w:r>
      <w:r w:rsidR="00D83C59" w:rsidRPr="00BA321C">
        <w:rPr>
          <w:rFonts w:ascii="Times New Roman" w:hAnsi="Times New Roman"/>
          <w:sz w:val="28"/>
          <w:szCs w:val="28"/>
        </w:rPr>
        <w:t>.</w:t>
      </w:r>
    </w:p>
    <w:p w:rsidR="00D31238" w:rsidRPr="00BA321C" w:rsidRDefault="000D443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Работам, посвященным выявлению, оценке и анализу факторов, характеризующих социально-экономическое развитие отдельных регионов, посвящали свое внимание как российские, так и зарубежные экономисты. </w:t>
      </w:r>
    </w:p>
    <w:p w:rsidR="00B76EFC" w:rsidRPr="00BA321C" w:rsidRDefault="00BB280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Систематизируя работы научно-исследовательских коллективов, посвященные вопросам оценки социально-экономического положения регионов и перспектив развития их производительных сил, можно отметить </w:t>
      </w:r>
      <w:r w:rsidR="00BE1746" w:rsidRPr="00BA321C">
        <w:rPr>
          <w:rFonts w:ascii="Times New Roman" w:hAnsi="Times New Roman"/>
          <w:sz w:val="28"/>
          <w:szCs w:val="28"/>
        </w:rPr>
        <w:t xml:space="preserve">также </w:t>
      </w:r>
      <w:r w:rsidRPr="00BA321C">
        <w:rPr>
          <w:rFonts w:ascii="Times New Roman" w:hAnsi="Times New Roman"/>
          <w:sz w:val="28"/>
          <w:szCs w:val="28"/>
        </w:rPr>
        <w:t>работу</w:t>
      </w:r>
      <w:r w:rsidR="00D95A28" w:rsidRPr="00BA321C">
        <w:rPr>
          <w:rFonts w:ascii="Times New Roman" w:hAnsi="Times New Roman"/>
          <w:sz w:val="28"/>
          <w:szCs w:val="28"/>
        </w:rPr>
        <w:t>, таких авторов, как Л. Н. Булгакова [</w:t>
      </w:r>
      <w:r w:rsidR="00804176" w:rsidRPr="00BA321C">
        <w:rPr>
          <w:rFonts w:ascii="Times New Roman" w:hAnsi="Times New Roman"/>
          <w:sz w:val="28"/>
          <w:szCs w:val="28"/>
        </w:rPr>
        <w:t>37</w:t>
      </w:r>
      <w:r w:rsidR="00D95A28" w:rsidRPr="00BA321C">
        <w:rPr>
          <w:rFonts w:ascii="Times New Roman" w:hAnsi="Times New Roman"/>
          <w:sz w:val="28"/>
          <w:szCs w:val="28"/>
        </w:rPr>
        <w:t>], О.А. Бияков</w:t>
      </w:r>
      <w:r w:rsidR="00B76EFC" w:rsidRPr="00BA321C">
        <w:rPr>
          <w:rFonts w:ascii="Times New Roman" w:hAnsi="Times New Roman"/>
          <w:sz w:val="28"/>
          <w:szCs w:val="28"/>
        </w:rPr>
        <w:t xml:space="preserve"> [3</w:t>
      </w:r>
      <w:r w:rsidR="00804176" w:rsidRPr="00BA321C">
        <w:rPr>
          <w:rFonts w:ascii="Times New Roman" w:hAnsi="Times New Roman"/>
          <w:sz w:val="28"/>
          <w:szCs w:val="28"/>
        </w:rPr>
        <w:t>8</w:t>
      </w:r>
      <w:r w:rsidR="00B76EFC" w:rsidRPr="00BA321C">
        <w:rPr>
          <w:rFonts w:ascii="Times New Roman" w:hAnsi="Times New Roman"/>
          <w:sz w:val="28"/>
          <w:szCs w:val="28"/>
        </w:rPr>
        <w:t>]</w:t>
      </w:r>
      <w:r w:rsidR="00D95A28" w:rsidRPr="00BA321C">
        <w:rPr>
          <w:rFonts w:ascii="Times New Roman" w:hAnsi="Times New Roman"/>
          <w:sz w:val="28"/>
          <w:szCs w:val="28"/>
        </w:rPr>
        <w:t>, О.В. Глушакова, Я. А. Вайсберг</w:t>
      </w:r>
      <w:r w:rsidR="00B76EFC" w:rsidRPr="00BA321C">
        <w:rPr>
          <w:rFonts w:ascii="Times New Roman" w:hAnsi="Times New Roman"/>
          <w:sz w:val="28"/>
          <w:szCs w:val="28"/>
        </w:rPr>
        <w:t xml:space="preserve"> [</w:t>
      </w:r>
      <w:r w:rsidR="00804176" w:rsidRPr="00BA321C">
        <w:rPr>
          <w:rFonts w:ascii="Times New Roman" w:hAnsi="Times New Roman"/>
          <w:sz w:val="28"/>
          <w:szCs w:val="28"/>
        </w:rPr>
        <w:t>39</w:t>
      </w:r>
      <w:r w:rsidR="00B76EFC" w:rsidRPr="00BA321C">
        <w:rPr>
          <w:rFonts w:ascii="Times New Roman" w:hAnsi="Times New Roman"/>
          <w:sz w:val="28"/>
          <w:szCs w:val="28"/>
        </w:rPr>
        <w:t xml:space="preserve">]. </w:t>
      </w:r>
    </w:p>
    <w:p w:rsidR="003F6222" w:rsidRPr="00BA321C" w:rsidRDefault="00B76EF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Так, в основе, методологии исследования Л. Н. Булгаковой </w:t>
      </w:r>
      <w:r w:rsidR="00C003D4" w:rsidRPr="00BA321C">
        <w:rPr>
          <w:rFonts w:ascii="Times New Roman" w:hAnsi="Times New Roman"/>
          <w:sz w:val="28"/>
          <w:szCs w:val="28"/>
        </w:rPr>
        <w:t xml:space="preserve">лежит предположение о том, что измерение процессов социально-экономического развития регионов должно осуществляться </w:t>
      </w:r>
      <w:r w:rsidRPr="00BA321C">
        <w:rPr>
          <w:rFonts w:ascii="Times New Roman" w:hAnsi="Times New Roman"/>
          <w:sz w:val="28"/>
          <w:szCs w:val="28"/>
        </w:rPr>
        <w:t>с позиции динамического крите</w:t>
      </w:r>
      <w:r w:rsidRPr="00BA321C">
        <w:rPr>
          <w:rFonts w:ascii="Times New Roman" w:hAnsi="Times New Roman"/>
          <w:sz w:val="28"/>
          <w:szCs w:val="28"/>
        </w:rPr>
        <w:softHyphen/>
        <w:t>рия, при этом подчеркива</w:t>
      </w:r>
      <w:r w:rsidR="00C003D4" w:rsidRPr="00BA321C">
        <w:rPr>
          <w:rFonts w:ascii="Times New Roman" w:hAnsi="Times New Roman"/>
          <w:sz w:val="28"/>
          <w:szCs w:val="28"/>
        </w:rPr>
        <w:t>ется</w:t>
      </w:r>
      <w:r w:rsidRPr="00BA321C">
        <w:rPr>
          <w:rFonts w:ascii="Times New Roman" w:hAnsi="Times New Roman"/>
          <w:sz w:val="28"/>
          <w:szCs w:val="28"/>
        </w:rPr>
        <w:t xml:space="preserve"> важность соотнесения показателей друг с другом</w:t>
      </w:r>
      <w:r w:rsidR="00C003D4" w:rsidRPr="00BA321C">
        <w:rPr>
          <w:rFonts w:ascii="Times New Roman" w:hAnsi="Times New Roman"/>
          <w:sz w:val="28"/>
          <w:szCs w:val="28"/>
        </w:rPr>
        <w:t xml:space="preserve"> «…при формировании системы показателей для анализа функционирования экономической системы на уровне региона должен соблюдаться ряд принципов построения динамического критерия, поскольку любые объемные характеристики региональной экономической системы (ВРП, выпуск продукции, численность занятых и др.), взятые изолированно, не в состоянии дать оценку эффективности ее функционирования и по сути всего лишь отражают состояние системы в определенный момент времени»</w:t>
      </w:r>
      <w:r w:rsidR="00DA2B5E" w:rsidRPr="00BA321C">
        <w:rPr>
          <w:rFonts w:ascii="Times New Roman" w:hAnsi="Times New Roman"/>
          <w:sz w:val="28"/>
          <w:szCs w:val="28"/>
        </w:rPr>
        <w:t xml:space="preserve"> [2]</w:t>
      </w:r>
      <w:r w:rsidR="00C003D4" w:rsidRPr="00BA321C">
        <w:rPr>
          <w:rFonts w:ascii="Times New Roman" w:hAnsi="Times New Roman"/>
          <w:sz w:val="28"/>
          <w:szCs w:val="28"/>
        </w:rPr>
        <w:t xml:space="preserve">. </w:t>
      </w:r>
    </w:p>
    <w:p w:rsidR="00D95A28" w:rsidRPr="00BA321C" w:rsidRDefault="00DA2B5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Интересной в научно-методологическом плане представляется работа О.А. Биякова «Теория экономического пространства: методологический и региональный аспекты». В ней автор опирается на так называемый процессный подход. В связи с этим </w:t>
      </w:r>
      <w:r w:rsidR="008B151A" w:rsidRPr="00BA321C">
        <w:rPr>
          <w:rFonts w:ascii="Times New Roman" w:hAnsi="Times New Roman"/>
          <w:sz w:val="28"/>
          <w:szCs w:val="28"/>
        </w:rPr>
        <w:t xml:space="preserve">он </w:t>
      </w:r>
      <w:r w:rsidRPr="00BA321C">
        <w:rPr>
          <w:rFonts w:ascii="Times New Roman" w:hAnsi="Times New Roman"/>
          <w:sz w:val="28"/>
          <w:szCs w:val="28"/>
        </w:rPr>
        <w:t>выделяет четыре группы процессов:</w:t>
      </w:r>
    </w:p>
    <w:p w:rsidR="00DA2B5E" w:rsidRPr="00BA321C" w:rsidRDefault="00DA2B5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основные процессы</w:t>
      </w:r>
      <w:r w:rsidR="008B151A" w:rsidRPr="00BA321C">
        <w:rPr>
          <w:rFonts w:ascii="Times New Roman" w:hAnsi="Times New Roman"/>
          <w:sz w:val="28"/>
          <w:szCs w:val="28"/>
        </w:rPr>
        <w:t xml:space="preserve"> (основные показатели: ВРП на душу населения, </w:t>
      </w:r>
      <w:r w:rsidR="00000CBA" w:rsidRPr="00BA321C">
        <w:rPr>
          <w:rFonts w:ascii="Times New Roman" w:hAnsi="Times New Roman"/>
          <w:sz w:val="28"/>
          <w:szCs w:val="28"/>
        </w:rPr>
        <w:t xml:space="preserve">инвестиции в основной капитал на душу населения, иностранные инвестиции, </w:t>
      </w:r>
      <w:r w:rsidR="008B151A" w:rsidRPr="00BA321C">
        <w:rPr>
          <w:rFonts w:ascii="Times New Roman" w:hAnsi="Times New Roman"/>
          <w:sz w:val="28"/>
          <w:szCs w:val="28"/>
        </w:rPr>
        <w:t>производительность труда, сальдированный финансовый результат деятельности организаций)</w:t>
      </w:r>
      <w:r w:rsidRPr="00BA321C">
        <w:rPr>
          <w:rFonts w:ascii="Times New Roman" w:hAnsi="Times New Roman"/>
          <w:sz w:val="28"/>
          <w:szCs w:val="28"/>
        </w:rPr>
        <w:t>;</w:t>
      </w:r>
    </w:p>
    <w:p w:rsidR="00DA2B5E" w:rsidRPr="00BA321C" w:rsidRDefault="00DA2B5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вспомогательные процессы</w:t>
      </w:r>
      <w:r w:rsidR="00586648" w:rsidRPr="00BA321C">
        <w:rPr>
          <w:rFonts w:ascii="Times New Roman" w:hAnsi="Times New Roman"/>
          <w:sz w:val="28"/>
          <w:szCs w:val="28"/>
        </w:rPr>
        <w:t xml:space="preserve"> (основные показатели: </w:t>
      </w:r>
      <w:r w:rsidR="003D4C2E" w:rsidRPr="00BA321C">
        <w:rPr>
          <w:rFonts w:ascii="Times New Roman" w:hAnsi="Times New Roman"/>
          <w:sz w:val="28"/>
          <w:szCs w:val="28"/>
        </w:rPr>
        <w:t xml:space="preserve">объем перевозок грузов автомобильным транспортом, </w:t>
      </w:r>
      <w:r w:rsidR="00000CBA" w:rsidRPr="00BA321C">
        <w:rPr>
          <w:rFonts w:ascii="Times New Roman" w:hAnsi="Times New Roman"/>
          <w:sz w:val="28"/>
          <w:szCs w:val="28"/>
        </w:rPr>
        <w:t>объем работ, выполненных по договору строительного подряда,</w:t>
      </w:r>
      <w:r w:rsidR="00586648" w:rsidRPr="00BA321C">
        <w:rPr>
          <w:rFonts w:ascii="Times New Roman" w:hAnsi="Times New Roman"/>
          <w:sz w:val="28"/>
          <w:szCs w:val="28"/>
        </w:rPr>
        <w:t xml:space="preserve"> численность студентов государственных вузов)</w:t>
      </w:r>
      <w:r w:rsidRPr="00BA321C">
        <w:rPr>
          <w:rFonts w:ascii="Times New Roman" w:hAnsi="Times New Roman"/>
          <w:sz w:val="28"/>
          <w:szCs w:val="28"/>
        </w:rPr>
        <w:t>;</w:t>
      </w:r>
    </w:p>
    <w:p w:rsidR="00DA2B5E" w:rsidRPr="00BA321C" w:rsidRDefault="00DA2B5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процессы жизнеобеспечения</w:t>
      </w:r>
      <w:r w:rsidR="00586648" w:rsidRPr="00BA321C">
        <w:rPr>
          <w:rFonts w:ascii="Times New Roman" w:hAnsi="Times New Roman"/>
          <w:sz w:val="28"/>
          <w:szCs w:val="28"/>
        </w:rPr>
        <w:t xml:space="preserve"> (</w:t>
      </w:r>
      <w:r w:rsidR="003D4C2E" w:rsidRPr="00BA321C">
        <w:rPr>
          <w:rFonts w:ascii="Times New Roman" w:hAnsi="Times New Roman"/>
          <w:sz w:val="28"/>
          <w:szCs w:val="28"/>
        </w:rPr>
        <w:t xml:space="preserve">автомобильные дороги общего пользования с твердым покрытием, </w:t>
      </w:r>
      <w:r w:rsidR="00586648" w:rsidRPr="00BA321C">
        <w:rPr>
          <w:rFonts w:ascii="Times New Roman" w:hAnsi="Times New Roman"/>
          <w:sz w:val="28"/>
          <w:szCs w:val="28"/>
        </w:rPr>
        <w:t xml:space="preserve">основные показатели: </w:t>
      </w:r>
      <w:r w:rsidR="00000CBA" w:rsidRPr="00BA321C">
        <w:rPr>
          <w:rFonts w:ascii="Times New Roman" w:hAnsi="Times New Roman"/>
          <w:sz w:val="28"/>
          <w:szCs w:val="28"/>
        </w:rPr>
        <w:t xml:space="preserve">объем платных </w:t>
      </w:r>
      <w:r w:rsidR="00000CBA" w:rsidRPr="00BA321C">
        <w:rPr>
          <w:rFonts w:ascii="Times New Roman" w:hAnsi="Times New Roman"/>
          <w:sz w:val="28"/>
          <w:szCs w:val="28"/>
        </w:rPr>
        <w:lastRenderedPageBreak/>
        <w:t xml:space="preserve">услуг на душу населения, </w:t>
      </w:r>
      <w:r w:rsidR="00586648" w:rsidRPr="00BA321C">
        <w:rPr>
          <w:rFonts w:ascii="Times New Roman" w:hAnsi="Times New Roman"/>
          <w:sz w:val="28"/>
          <w:szCs w:val="28"/>
        </w:rPr>
        <w:t xml:space="preserve">оборот розничной торговли на душу населения, </w:t>
      </w:r>
      <w:r w:rsidR="00000CBA" w:rsidRPr="00BA321C">
        <w:rPr>
          <w:rFonts w:ascii="Times New Roman" w:hAnsi="Times New Roman"/>
          <w:sz w:val="28"/>
          <w:szCs w:val="28"/>
        </w:rPr>
        <w:t xml:space="preserve">количество собственных легковых автомобилей, </w:t>
      </w:r>
      <w:r w:rsidR="00586648" w:rsidRPr="00BA321C">
        <w:rPr>
          <w:rFonts w:ascii="Times New Roman" w:hAnsi="Times New Roman"/>
          <w:sz w:val="28"/>
          <w:szCs w:val="28"/>
        </w:rPr>
        <w:t>число больничных коек</w:t>
      </w:r>
      <w:r w:rsidR="003D4C2E" w:rsidRPr="00BA321C">
        <w:rPr>
          <w:rFonts w:ascii="Times New Roman" w:hAnsi="Times New Roman"/>
          <w:sz w:val="28"/>
          <w:szCs w:val="28"/>
        </w:rPr>
        <w:t>,</w:t>
      </w:r>
      <w:r w:rsidR="00586648" w:rsidRPr="00BA321C">
        <w:rPr>
          <w:rFonts w:ascii="Times New Roman" w:hAnsi="Times New Roman"/>
          <w:sz w:val="28"/>
          <w:szCs w:val="28"/>
        </w:rPr>
        <w:t xml:space="preserve"> </w:t>
      </w:r>
      <w:r w:rsidR="00000CBA" w:rsidRPr="00BA321C">
        <w:rPr>
          <w:rFonts w:ascii="Times New Roman" w:hAnsi="Times New Roman"/>
          <w:sz w:val="28"/>
          <w:szCs w:val="28"/>
        </w:rPr>
        <w:t>количество квартирных телефонов</w:t>
      </w:r>
      <w:r w:rsidR="003D4C2E" w:rsidRPr="00BA321C">
        <w:rPr>
          <w:rFonts w:ascii="Times New Roman" w:hAnsi="Times New Roman"/>
          <w:sz w:val="28"/>
          <w:szCs w:val="28"/>
        </w:rPr>
        <w:t>, численность врачей,</w:t>
      </w:r>
      <w:r w:rsidR="00586648" w:rsidRPr="00BA321C">
        <w:rPr>
          <w:rFonts w:ascii="Times New Roman" w:hAnsi="Times New Roman"/>
          <w:sz w:val="28"/>
          <w:szCs w:val="28"/>
        </w:rPr>
        <w:t>)</w:t>
      </w:r>
      <w:r w:rsidRPr="00BA321C">
        <w:rPr>
          <w:rFonts w:ascii="Times New Roman" w:hAnsi="Times New Roman"/>
          <w:sz w:val="28"/>
          <w:szCs w:val="28"/>
        </w:rPr>
        <w:t>;</w:t>
      </w:r>
    </w:p>
    <w:p w:rsidR="00DA2B5E" w:rsidRPr="00BA321C" w:rsidRDefault="008B151A"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процессы, препятствующие развитию экономического пространства</w:t>
      </w:r>
      <w:r w:rsidR="00586648" w:rsidRPr="00BA321C">
        <w:rPr>
          <w:rFonts w:ascii="Times New Roman" w:hAnsi="Times New Roman"/>
          <w:sz w:val="28"/>
          <w:szCs w:val="28"/>
        </w:rPr>
        <w:t xml:space="preserve"> (основные показатели: </w:t>
      </w:r>
      <w:r w:rsidR="003D4C2E" w:rsidRPr="00BA321C">
        <w:rPr>
          <w:rFonts w:ascii="Times New Roman" w:hAnsi="Times New Roman"/>
          <w:sz w:val="28"/>
          <w:szCs w:val="28"/>
        </w:rPr>
        <w:t xml:space="preserve">уровень безработицы, </w:t>
      </w:r>
      <w:r w:rsidR="00000CBA" w:rsidRPr="00BA321C">
        <w:rPr>
          <w:rFonts w:ascii="Times New Roman" w:hAnsi="Times New Roman"/>
          <w:sz w:val="28"/>
          <w:szCs w:val="28"/>
        </w:rPr>
        <w:t>заболеваемость населения, число зарегистрированных преступлений, выбросы загрязняющих веществ в атмосферный воздух</w:t>
      </w:r>
      <w:r w:rsidR="00586648" w:rsidRPr="00BA321C">
        <w:rPr>
          <w:rFonts w:ascii="Times New Roman" w:hAnsi="Times New Roman"/>
          <w:sz w:val="28"/>
          <w:szCs w:val="28"/>
        </w:rPr>
        <w:t>)</w:t>
      </w:r>
      <w:r w:rsidR="00BB7D6C" w:rsidRPr="00BA321C">
        <w:rPr>
          <w:rFonts w:ascii="Times New Roman" w:hAnsi="Times New Roman"/>
          <w:sz w:val="28"/>
          <w:szCs w:val="28"/>
        </w:rPr>
        <w:t>.</w:t>
      </w:r>
    </w:p>
    <w:p w:rsidR="000D443C" w:rsidRPr="00BA321C" w:rsidRDefault="00F04FA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Интересным и то же время достаточно спорным является то, что в работе О.А. Биякова </w:t>
      </w:r>
      <w:r w:rsidR="00C40291" w:rsidRPr="00BA321C">
        <w:rPr>
          <w:rFonts w:ascii="Times New Roman" w:hAnsi="Times New Roman"/>
          <w:sz w:val="28"/>
          <w:szCs w:val="28"/>
        </w:rPr>
        <w:t>каждый рассматриваемый процесс включает в себя набор как экономических показателей, так и показателей, характеризующих социальные процессы развития. Таким образом, фактически автор определяет сводные интегральные показатели для каждого процесса, исключая при этом возможность идентификации уникальных параметров развития социальной и экономической среды в отдельности.</w:t>
      </w:r>
    </w:p>
    <w:p w:rsidR="00AF4944" w:rsidRPr="00BA321C" w:rsidRDefault="00C40291"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Решить проблему оценки развития социально-экономической среды региона не на основе только лишь определения интегрального показателя, но и на основе четкой дифференциации показателей, отражающих отдельно, как социальные аспекты </w:t>
      </w:r>
      <w:r w:rsidR="00314F2D" w:rsidRPr="00BA321C">
        <w:rPr>
          <w:rFonts w:ascii="Times New Roman" w:hAnsi="Times New Roman"/>
          <w:sz w:val="28"/>
          <w:szCs w:val="28"/>
        </w:rPr>
        <w:t xml:space="preserve">регионального </w:t>
      </w:r>
      <w:r w:rsidRPr="00BA321C">
        <w:rPr>
          <w:rFonts w:ascii="Times New Roman" w:hAnsi="Times New Roman"/>
          <w:sz w:val="28"/>
          <w:szCs w:val="28"/>
        </w:rPr>
        <w:t xml:space="preserve">развития, так и экономические попытались в своей работе «Социальное и экономическое пространство регионов: концептуальные подходы к измерению и методика оценки (на примере регионов Сибирского федерального округа)» </w:t>
      </w:r>
      <w:r w:rsidR="00276F73" w:rsidRPr="00BA321C">
        <w:rPr>
          <w:rFonts w:ascii="Times New Roman" w:hAnsi="Times New Roman"/>
          <w:sz w:val="28"/>
          <w:szCs w:val="28"/>
        </w:rPr>
        <w:t xml:space="preserve">О. </w:t>
      </w:r>
      <w:r w:rsidRPr="00BA321C">
        <w:rPr>
          <w:rFonts w:ascii="Times New Roman" w:hAnsi="Times New Roman"/>
          <w:sz w:val="28"/>
          <w:szCs w:val="28"/>
        </w:rPr>
        <w:t>В. Глушакова, Я. А. Вайсберг</w:t>
      </w:r>
      <w:r w:rsidR="00AF4944" w:rsidRPr="00BA321C">
        <w:rPr>
          <w:rFonts w:ascii="Times New Roman" w:hAnsi="Times New Roman"/>
          <w:sz w:val="28"/>
          <w:szCs w:val="28"/>
        </w:rPr>
        <w:t xml:space="preserve"> [4]</w:t>
      </w:r>
      <w:r w:rsidR="00314F2D" w:rsidRPr="00BA321C">
        <w:rPr>
          <w:rFonts w:ascii="Times New Roman" w:hAnsi="Times New Roman"/>
          <w:sz w:val="28"/>
          <w:szCs w:val="28"/>
        </w:rPr>
        <w:t>.</w:t>
      </w:r>
      <w:r w:rsidR="008304EF" w:rsidRPr="00BA321C">
        <w:rPr>
          <w:rFonts w:ascii="Times New Roman" w:hAnsi="Times New Roman"/>
          <w:sz w:val="28"/>
          <w:szCs w:val="28"/>
        </w:rPr>
        <w:t xml:space="preserve"> По мнению авторов, </w:t>
      </w:r>
      <w:r w:rsidR="00473383" w:rsidRPr="00BA321C">
        <w:rPr>
          <w:rFonts w:ascii="Times New Roman" w:hAnsi="Times New Roman"/>
          <w:sz w:val="28"/>
          <w:szCs w:val="28"/>
        </w:rPr>
        <w:t xml:space="preserve">измерение уровня социально-экономического развития пространства регионов должно основываться на изучении частных показателей, характеризующих в отдельности экономические и в отдельности социальные тренды. Это позволит получить более объективное представление о процессах, формирующих устойчивость регионального развития в целом. </w:t>
      </w:r>
    </w:p>
    <w:p w:rsidR="00314F2D" w:rsidRPr="00BA321C" w:rsidRDefault="00DA771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Сложно в данном случае не согласиться с точкой зрения авторов. Необходимость оценки и мониторинга </w:t>
      </w:r>
      <w:r w:rsidR="00DD7681" w:rsidRPr="00BA321C">
        <w:rPr>
          <w:rFonts w:ascii="Times New Roman" w:hAnsi="Times New Roman"/>
          <w:sz w:val="28"/>
          <w:szCs w:val="28"/>
        </w:rPr>
        <w:t xml:space="preserve">не только экономической, но и </w:t>
      </w:r>
      <w:r w:rsidRPr="00BA321C">
        <w:rPr>
          <w:rFonts w:ascii="Times New Roman" w:hAnsi="Times New Roman"/>
          <w:sz w:val="28"/>
          <w:szCs w:val="28"/>
        </w:rPr>
        <w:t xml:space="preserve">социальной среды территориальных образований предопределяет характер и </w:t>
      </w:r>
      <w:r w:rsidRPr="00BA321C">
        <w:rPr>
          <w:rFonts w:ascii="Times New Roman" w:hAnsi="Times New Roman"/>
          <w:sz w:val="28"/>
          <w:szCs w:val="28"/>
        </w:rPr>
        <w:lastRenderedPageBreak/>
        <w:t xml:space="preserve">тенденции воспроизводства человеческого капитала – одного из </w:t>
      </w:r>
      <w:r w:rsidR="00DD7681" w:rsidRPr="00BA321C">
        <w:rPr>
          <w:rFonts w:ascii="Times New Roman" w:hAnsi="Times New Roman"/>
          <w:sz w:val="28"/>
          <w:szCs w:val="28"/>
        </w:rPr>
        <w:t xml:space="preserve">главенствующих факторов размещения производительных сил. Более того тип рассматриваемого воспроизводства определяет качество человеческого капитала, а значит и характер и динамику развития производительных сил. </w:t>
      </w:r>
      <w:r w:rsidR="003E679A" w:rsidRPr="00BA321C">
        <w:rPr>
          <w:rFonts w:ascii="Times New Roman" w:hAnsi="Times New Roman"/>
          <w:sz w:val="28"/>
          <w:szCs w:val="28"/>
        </w:rPr>
        <w:t xml:space="preserve">Следовательно, </w:t>
      </w:r>
      <w:r w:rsidR="005E3A2A" w:rsidRPr="00BA321C">
        <w:rPr>
          <w:rFonts w:ascii="Times New Roman" w:hAnsi="Times New Roman"/>
          <w:sz w:val="28"/>
          <w:szCs w:val="28"/>
        </w:rPr>
        <w:t>социальная среда</w:t>
      </w:r>
      <w:r w:rsidR="00750189" w:rsidRPr="00BA321C">
        <w:rPr>
          <w:rFonts w:ascii="Times New Roman" w:hAnsi="Times New Roman"/>
          <w:sz w:val="28"/>
          <w:szCs w:val="28"/>
        </w:rPr>
        <w:t xml:space="preserve"> (образование, уровень развития НИОКР, здравоохранение, обеспечение жилищных условий и т.п.)</w:t>
      </w:r>
      <w:r w:rsidR="005E3A2A" w:rsidRPr="00BA321C">
        <w:rPr>
          <w:rFonts w:ascii="Times New Roman" w:hAnsi="Times New Roman"/>
          <w:sz w:val="28"/>
          <w:szCs w:val="28"/>
        </w:rPr>
        <w:t xml:space="preserve"> и функциональные характеристики ее развития формируют условия, обеспечивающие воспроизводство человеческого капитала, а значит, и характер размещения и развития производительных сил. </w:t>
      </w:r>
    </w:p>
    <w:p w:rsidR="008304EF" w:rsidRPr="00BA321C" w:rsidRDefault="005A13C0"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основе концепции изучения социального и экономического пространства регионов </w:t>
      </w:r>
      <w:r w:rsidR="00276F73" w:rsidRPr="00BA321C">
        <w:rPr>
          <w:rFonts w:ascii="Times New Roman" w:hAnsi="Times New Roman"/>
          <w:sz w:val="28"/>
          <w:szCs w:val="28"/>
        </w:rPr>
        <w:t xml:space="preserve">О. </w:t>
      </w:r>
      <w:r w:rsidRPr="00BA321C">
        <w:rPr>
          <w:rFonts w:ascii="Times New Roman" w:hAnsi="Times New Roman"/>
          <w:sz w:val="28"/>
          <w:szCs w:val="28"/>
        </w:rPr>
        <w:t>В. Глушаков</w:t>
      </w:r>
      <w:r w:rsidR="001C3BAD" w:rsidRPr="00BA321C">
        <w:rPr>
          <w:rFonts w:ascii="Times New Roman" w:hAnsi="Times New Roman"/>
          <w:sz w:val="28"/>
          <w:szCs w:val="28"/>
        </w:rPr>
        <w:t>ой</w:t>
      </w:r>
      <w:r w:rsidRPr="00BA321C">
        <w:rPr>
          <w:rFonts w:ascii="Times New Roman" w:hAnsi="Times New Roman"/>
          <w:sz w:val="28"/>
          <w:szCs w:val="28"/>
        </w:rPr>
        <w:t>, Я. А. Вайсберг</w:t>
      </w:r>
      <w:r w:rsidR="001C3BAD" w:rsidRPr="00BA321C">
        <w:rPr>
          <w:rFonts w:ascii="Times New Roman" w:hAnsi="Times New Roman"/>
          <w:sz w:val="28"/>
          <w:szCs w:val="28"/>
        </w:rPr>
        <w:t>а</w:t>
      </w:r>
      <w:r w:rsidRPr="00BA321C">
        <w:rPr>
          <w:rFonts w:ascii="Times New Roman" w:hAnsi="Times New Roman"/>
          <w:sz w:val="28"/>
          <w:szCs w:val="28"/>
        </w:rPr>
        <w:t xml:space="preserve"> </w:t>
      </w:r>
      <w:r w:rsidR="001C3BAD" w:rsidRPr="00BA321C">
        <w:rPr>
          <w:rFonts w:ascii="Times New Roman" w:hAnsi="Times New Roman"/>
          <w:sz w:val="28"/>
          <w:szCs w:val="28"/>
        </w:rPr>
        <w:t>положен расчет компонентных подиндексов, характеризующих социальные и экономические аспекты регионального развития, а также определение интегрального индекса на базе выше указанных подиндексов.</w:t>
      </w:r>
      <w:r w:rsidR="00675731" w:rsidRPr="00BA321C">
        <w:rPr>
          <w:rFonts w:ascii="Times New Roman" w:hAnsi="Times New Roman"/>
          <w:sz w:val="28"/>
          <w:szCs w:val="28"/>
        </w:rPr>
        <w:t xml:space="preserve"> Основная гипотеза и цель их исследования сводится к тому, что социальная и экономическая среда регионов разбалансированы, а значит, существует необходимость в выявлении степени </w:t>
      </w:r>
      <w:r w:rsidR="005F095B" w:rsidRPr="00BA321C">
        <w:rPr>
          <w:rFonts w:ascii="Times New Roman" w:hAnsi="Times New Roman"/>
          <w:sz w:val="28"/>
          <w:szCs w:val="28"/>
        </w:rPr>
        <w:t xml:space="preserve">этой </w:t>
      </w:r>
      <w:r w:rsidR="00675731" w:rsidRPr="00BA321C">
        <w:rPr>
          <w:rFonts w:ascii="Times New Roman" w:hAnsi="Times New Roman"/>
          <w:sz w:val="28"/>
          <w:szCs w:val="28"/>
        </w:rPr>
        <w:t xml:space="preserve">разбалансировки для решения таких важных задач, как </w:t>
      </w:r>
      <w:r w:rsidR="005F095B" w:rsidRPr="00BA321C">
        <w:rPr>
          <w:rFonts w:ascii="Times New Roman" w:hAnsi="Times New Roman"/>
          <w:sz w:val="28"/>
          <w:szCs w:val="28"/>
        </w:rPr>
        <w:t>формирование условий регионального хозяйствования, которые бы способствовали равномерному и соответствующему друг другу развитию социальных и экономических процессов.</w:t>
      </w:r>
    </w:p>
    <w:p w:rsidR="00276F73" w:rsidRPr="00BA321C" w:rsidRDefault="001F142F"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На наш взгляд постановка заявленной авторами цели может быть справедливой лишь в долгосрочный период социально-экономического развития. В краткосрочном же периоде, равно как и среднесрочной перспективе развития, разбалансировка рассматриваемых процессов является естественной. Более того, баланс развития социальных и экономических процессов является, по нашему мнению, абстракцией. В связи с этим представляется дискуссионной постановка </w:t>
      </w:r>
      <w:r w:rsidR="009B560C" w:rsidRPr="00BA321C">
        <w:rPr>
          <w:rFonts w:ascii="Times New Roman" w:hAnsi="Times New Roman"/>
          <w:sz w:val="28"/>
          <w:szCs w:val="28"/>
        </w:rPr>
        <w:t xml:space="preserve">О. В. Глушаковой и Я. А. Вайсбергом </w:t>
      </w:r>
      <w:r w:rsidR="00276F73" w:rsidRPr="00BA321C">
        <w:rPr>
          <w:rFonts w:ascii="Times New Roman" w:hAnsi="Times New Roman"/>
          <w:sz w:val="28"/>
          <w:szCs w:val="28"/>
        </w:rPr>
        <w:t>вопроса в контексте изучаемых процессов</w:t>
      </w:r>
      <w:r w:rsidR="009B560C" w:rsidRPr="00BA321C">
        <w:rPr>
          <w:rFonts w:ascii="Times New Roman" w:hAnsi="Times New Roman"/>
          <w:sz w:val="28"/>
          <w:szCs w:val="28"/>
        </w:rPr>
        <w:t xml:space="preserve">. Вместе с тем изучение отдельных факторов и однородных групп, отражающих развитие тех или иных процессов социально-экономического развития территориальных </w:t>
      </w:r>
      <w:r w:rsidR="009B560C" w:rsidRPr="00BA321C">
        <w:rPr>
          <w:rFonts w:ascii="Times New Roman" w:hAnsi="Times New Roman"/>
          <w:sz w:val="28"/>
          <w:szCs w:val="28"/>
        </w:rPr>
        <w:lastRenderedPageBreak/>
        <w:t xml:space="preserve">образований является крайне важной задачей, наряду с изучением и определением сводных интегральных показателей. </w:t>
      </w:r>
    </w:p>
    <w:p w:rsidR="00523FA2" w:rsidRPr="00BA321C" w:rsidRDefault="00523FA2"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Относительно</w:t>
      </w:r>
      <w:r w:rsidR="00292251" w:rsidRPr="00BA321C">
        <w:rPr>
          <w:rFonts w:ascii="Times New Roman" w:hAnsi="Times New Roman"/>
          <w:sz w:val="28"/>
          <w:szCs w:val="28"/>
        </w:rPr>
        <w:t xml:space="preserve"> плодотворной, на наш взгляд, в сфере решения поставленной задачи, выглядит работа А. А. Картаузова, посвященная вопросам изучения инсти</w:t>
      </w:r>
      <w:r w:rsidR="003C3787" w:rsidRPr="00BA321C">
        <w:rPr>
          <w:rFonts w:ascii="Times New Roman" w:hAnsi="Times New Roman"/>
          <w:sz w:val="28"/>
          <w:szCs w:val="28"/>
        </w:rPr>
        <w:t>т</w:t>
      </w:r>
      <w:r w:rsidR="00292251" w:rsidRPr="00BA321C">
        <w:rPr>
          <w:rFonts w:ascii="Times New Roman" w:hAnsi="Times New Roman"/>
          <w:sz w:val="28"/>
          <w:szCs w:val="28"/>
        </w:rPr>
        <w:t>уциональных основ регулирования конкурентоспособности производительных сил [</w:t>
      </w:r>
      <w:r w:rsidR="007B3B8C" w:rsidRPr="00BA321C">
        <w:rPr>
          <w:rFonts w:ascii="Times New Roman" w:hAnsi="Times New Roman"/>
          <w:sz w:val="28"/>
          <w:szCs w:val="28"/>
        </w:rPr>
        <w:t>40</w:t>
      </w:r>
      <w:r w:rsidR="00292251" w:rsidRPr="00BA321C">
        <w:rPr>
          <w:rFonts w:ascii="Times New Roman" w:hAnsi="Times New Roman"/>
          <w:sz w:val="28"/>
          <w:szCs w:val="28"/>
        </w:rPr>
        <w:t xml:space="preserve">]. </w:t>
      </w:r>
      <w:r w:rsidR="00E74093" w:rsidRPr="00BA321C">
        <w:rPr>
          <w:rFonts w:ascii="Times New Roman" w:hAnsi="Times New Roman"/>
          <w:sz w:val="28"/>
          <w:szCs w:val="28"/>
        </w:rPr>
        <w:t xml:space="preserve">В ней осуществляется попытка </w:t>
      </w:r>
      <w:r w:rsidR="003C3787" w:rsidRPr="00BA321C">
        <w:rPr>
          <w:rFonts w:ascii="Times New Roman" w:hAnsi="Times New Roman"/>
          <w:sz w:val="28"/>
          <w:szCs w:val="28"/>
        </w:rPr>
        <w:t xml:space="preserve">разработки методики, направленной на диагностику конкурентоспособности факторов производства (производительных сил). </w:t>
      </w:r>
      <w:r w:rsidR="00CB0057" w:rsidRPr="00BA321C">
        <w:rPr>
          <w:rFonts w:ascii="Times New Roman" w:hAnsi="Times New Roman"/>
          <w:sz w:val="28"/>
          <w:szCs w:val="28"/>
        </w:rPr>
        <w:t>К</w:t>
      </w:r>
      <w:r w:rsidR="003C3787" w:rsidRPr="00BA321C">
        <w:rPr>
          <w:rFonts w:ascii="Times New Roman" w:hAnsi="Times New Roman"/>
          <w:sz w:val="28"/>
          <w:szCs w:val="28"/>
        </w:rPr>
        <w:t xml:space="preserve">ак отмечает автор методика «… отражает формирование новых приоритетов и сочетаний экономических факторов развития». Таким образом, необходимо констатировать, что авторская разработка ориентирована на обзор, учет и анализ </w:t>
      </w:r>
      <w:r w:rsidR="00CB0057" w:rsidRPr="00BA321C">
        <w:rPr>
          <w:rFonts w:ascii="Times New Roman" w:hAnsi="Times New Roman"/>
          <w:sz w:val="28"/>
          <w:szCs w:val="28"/>
        </w:rPr>
        <w:t>преимущественно</w:t>
      </w:r>
      <w:r w:rsidR="003C3787" w:rsidRPr="00BA321C">
        <w:rPr>
          <w:rFonts w:ascii="Times New Roman" w:hAnsi="Times New Roman"/>
          <w:sz w:val="28"/>
          <w:szCs w:val="28"/>
        </w:rPr>
        <w:t xml:space="preserve"> экономических факторов, определяющих конкурентоспособность производительных сил. </w:t>
      </w:r>
      <w:r w:rsidR="00CB0057" w:rsidRPr="00BA321C">
        <w:rPr>
          <w:rFonts w:ascii="Times New Roman" w:hAnsi="Times New Roman"/>
          <w:sz w:val="28"/>
          <w:szCs w:val="28"/>
        </w:rPr>
        <w:t xml:space="preserve">При этом, </w:t>
      </w:r>
      <w:r w:rsidR="0001119A" w:rsidRPr="00BA321C">
        <w:rPr>
          <w:rFonts w:ascii="Times New Roman" w:hAnsi="Times New Roman"/>
          <w:sz w:val="28"/>
          <w:szCs w:val="28"/>
        </w:rPr>
        <w:t xml:space="preserve">согласно авторской трактовке </w:t>
      </w:r>
      <w:r w:rsidR="00CB0057" w:rsidRPr="00BA321C">
        <w:rPr>
          <w:rFonts w:ascii="Times New Roman" w:hAnsi="Times New Roman"/>
          <w:sz w:val="28"/>
          <w:szCs w:val="28"/>
        </w:rPr>
        <w:t>«… Конкурентоспособность производительных сил формируется на основе воспроизводства социальных, экономических и политических процессов</w:t>
      </w:r>
      <w:r w:rsidRPr="00BA321C">
        <w:rPr>
          <w:rFonts w:ascii="Times New Roman" w:hAnsi="Times New Roman"/>
          <w:sz w:val="28"/>
          <w:szCs w:val="28"/>
        </w:rPr>
        <w:t>. В разработанном информационном массиве это отражается статистическими показателями, составляющими человеческий капитал, физический капитал и институциональный капитал…</w:t>
      </w:r>
      <w:r w:rsidR="00CB0057" w:rsidRPr="00BA321C">
        <w:rPr>
          <w:rFonts w:ascii="Times New Roman" w:hAnsi="Times New Roman"/>
          <w:sz w:val="28"/>
          <w:szCs w:val="28"/>
        </w:rPr>
        <w:t>»</w:t>
      </w:r>
      <w:r w:rsidR="00C44B74" w:rsidRPr="00BA321C">
        <w:rPr>
          <w:rFonts w:ascii="Times New Roman" w:hAnsi="Times New Roman"/>
          <w:sz w:val="28"/>
          <w:szCs w:val="28"/>
        </w:rPr>
        <w:t>[40]</w:t>
      </w:r>
      <w:r w:rsidR="00CB0057" w:rsidRPr="00BA321C">
        <w:rPr>
          <w:rFonts w:ascii="Times New Roman" w:hAnsi="Times New Roman"/>
          <w:sz w:val="28"/>
          <w:szCs w:val="28"/>
        </w:rPr>
        <w:t xml:space="preserve">. </w:t>
      </w:r>
      <w:r w:rsidRPr="00BA321C">
        <w:rPr>
          <w:rFonts w:ascii="Times New Roman" w:hAnsi="Times New Roman"/>
          <w:sz w:val="28"/>
          <w:szCs w:val="28"/>
        </w:rPr>
        <w:t xml:space="preserve">Вместе с тем, несмотря на попытку заявить необходимость учета социальных и политических факторов, при изучении конкурентоспособности производительных сил, </w:t>
      </w:r>
      <w:r w:rsidR="005F6D54" w:rsidRPr="00BA321C">
        <w:rPr>
          <w:rFonts w:ascii="Times New Roman" w:hAnsi="Times New Roman"/>
          <w:sz w:val="28"/>
          <w:szCs w:val="28"/>
        </w:rPr>
        <w:t xml:space="preserve">показатели, лежащие в основе методического анализа, состоят в основном </w:t>
      </w:r>
      <w:r w:rsidR="0001119A" w:rsidRPr="00BA321C">
        <w:rPr>
          <w:rFonts w:ascii="Times New Roman" w:hAnsi="Times New Roman"/>
          <w:sz w:val="28"/>
          <w:szCs w:val="28"/>
        </w:rPr>
        <w:t xml:space="preserve">из </w:t>
      </w:r>
      <w:r w:rsidR="005F6D54" w:rsidRPr="00BA321C">
        <w:rPr>
          <w:rFonts w:ascii="Times New Roman" w:hAnsi="Times New Roman"/>
          <w:sz w:val="28"/>
          <w:szCs w:val="28"/>
        </w:rPr>
        <w:t>показателей экономической направленности.</w:t>
      </w:r>
    </w:p>
    <w:p w:rsidR="00B22860" w:rsidRPr="00BA321C" w:rsidRDefault="00F0138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Основным недостатком </w:t>
      </w:r>
      <w:r w:rsidR="009E3A08" w:rsidRPr="00BA321C">
        <w:rPr>
          <w:rFonts w:ascii="Times New Roman" w:hAnsi="Times New Roman"/>
          <w:sz w:val="28"/>
          <w:szCs w:val="28"/>
        </w:rPr>
        <w:t xml:space="preserve">существующих методических подходов к оценке </w:t>
      </w:r>
      <w:r w:rsidRPr="00BA321C">
        <w:rPr>
          <w:rFonts w:ascii="Times New Roman" w:hAnsi="Times New Roman"/>
          <w:sz w:val="28"/>
          <w:szCs w:val="28"/>
        </w:rPr>
        <w:t>рейтингов</w:t>
      </w:r>
      <w:r w:rsidR="009E3A08" w:rsidRPr="00BA321C">
        <w:rPr>
          <w:rFonts w:ascii="Times New Roman" w:hAnsi="Times New Roman"/>
          <w:sz w:val="28"/>
          <w:szCs w:val="28"/>
        </w:rPr>
        <w:t>ых значений социально-экономического положения регионов</w:t>
      </w:r>
      <w:r w:rsidRPr="00BA321C">
        <w:rPr>
          <w:rFonts w:ascii="Times New Roman" w:hAnsi="Times New Roman"/>
          <w:sz w:val="28"/>
          <w:szCs w:val="28"/>
        </w:rPr>
        <w:t xml:space="preserve"> является то, что </w:t>
      </w:r>
      <w:r w:rsidR="00C9737E" w:rsidRPr="00BA321C">
        <w:rPr>
          <w:rFonts w:ascii="Times New Roman" w:hAnsi="Times New Roman"/>
          <w:sz w:val="28"/>
          <w:szCs w:val="28"/>
        </w:rPr>
        <w:t xml:space="preserve">в подавляющем большинстве случаев не используются весовые коэффициенты факторов, участвующих в моделях. А те модели, которые учитывают данный фактор, оперируют сугубо экспертными оценками, что в значительной мере формирует субъективистский фон. </w:t>
      </w:r>
      <w:r w:rsidR="00B22860" w:rsidRPr="00BA321C">
        <w:rPr>
          <w:rFonts w:ascii="Times New Roman" w:hAnsi="Times New Roman"/>
          <w:sz w:val="28"/>
          <w:szCs w:val="28"/>
        </w:rPr>
        <w:t>Н</w:t>
      </w:r>
      <w:r w:rsidRPr="00BA321C">
        <w:rPr>
          <w:rFonts w:ascii="Times New Roman" w:hAnsi="Times New Roman"/>
          <w:sz w:val="28"/>
          <w:szCs w:val="28"/>
        </w:rPr>
        <w:t>апример</w:t>
      </w:r>
      <w:r w:rsidR="00C851C4" w:rsidRPr="00BA321C">
        <w:rPr>
          <w:rFonts w:ascii="Times New Roman" w:hAnsi="Times New Roman"/>
          <w:sz w:val="28"/>
          <w:szCs w:val="28"/>
        </w:rPr>
        <w:t>,</w:t>
      </w:r>
      <w:r w:rsidRPr="00BA321C">
        <w:rPr>
          <w:rFonts w:ascii="Times New Roman" w:hAnsi="Times New Roman"/>
          <w:sz w:val="28"/>
          <w:szCs w:val="28"/>
        </w:rPr>
        <w:t xml:space="preserve"> это однозначно проявляется в методике </w:t>
      </w:r>
      <w:r w:rsidR="009E3A08" w:rsidRPr="00BA321C">
        <w:rPr>
          <w:rFonts w:ascii="Times New Roman" w:hAnsi="Times New Roman"/>
          <w:sz w:val="28"/>
          <w:szCs w:val="28"/>
        </w:rPr>
        <w:t xml:space="preserve">оценки эффективности деятельности органов исполнительной власти субъектов Российской </w:t>
      </w:r>
      <w:r w:rsidR="009E3A08" w:rsidRPr="00BA321C">
        <w:rPr>
          <w:rFonts w:ascii="Times New Roman" w:hAnsi="Times New Roman"/>
          <w:sz w:val="28"/>
          <w:szCs w:val="28"/>
        </w:rPr>
        <w:lastRenderedPageBreak/>
        <w:t>Федерации (утв. Постановлением правительства РФ от 3 ноября 2012г. №1142) с изменениями от 28 февраля, 22 апреля 2013г., 5 апреля, 30 июля, 26 декабря 2014г.</w:t>
      </w:r>
      <w:r w:rsidR="00B22860" w:rsidRPr="00BA321C">
        <w:rPr>
          <w:rFonts w:ascii="Times New Roman" w:hAnsi="Times New Roman"/>
          <w:sz w:val="28"/>
          <w:szCs w:val="28"/>
        </w:rPr>
        <w:t xml:space="preserve"> В ее основе лежит подход, основывающийся на определении трех основных субиндексов, формирующих интегральную оценку значений рейтинга:</w:t>
      </w:r>
    </w:p>
    <w:p w:rsidR="00B22860" w:rsidRPr="00BA321C" w:rsidRDefault="00B22860"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экономическое положение региона</w:t>
      </w:r>
      <w:r w:rsidR="001E5353" w:rsidRPr="00BA321C">
        <w:rPr>
          <w:rFonts w:ascii="Times New Roman" w:hAnsi="Times New Roman"/>
          <w:sz w:val="28"/>
          <w:szCs w:val="28"/>
        </w:rPr>
        <w:t xml:space="preserve"> (значение весового коэффициента 0,5);</w:t>
      </w:r>
    </w:p>
    <w:p w:rsidR="00B22860" w:rsidRPr="00BA321C" w:rsidRDefault="00B22860"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социальное положение региона</w:t>
      </w:r>
      <w:r w:rsidR="001E5353" w:rsidRPr="00BA321C">
        <w:rPr>
          <w:rFonts w:ascii="Times New Roman" w:hAnsi="Times New Roman"/>
          <w:sz w:val="28"/>
          <w:szCs w:val="28"/>
        </w:rPr>
        <w:t xml:space="preserve"> (значение весового коэффициента 0,3)</w:t>
      </w:r>
    </w:p>
    <w:p w:rsidR="00B22860" w:rsidRPr="00BA321C" w:rsidRDefault="001E535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 </w:t>
      </w:r>
      <w:r w:rsidR="00B22860" w:rsidRPr="00BA321C">
        <w:rPr>
          <w:rFonts w:ascii="Times New Roman" w:hAnsi="Times New Roman"/>
          <w:sz w:val="28"/>
          <w:szCs w:val="28"/>
        </w:rPr>
        <w:t>оценк</w:t>
      </w:r>
      <w:r w:rsidRPr="00BA321C">
        <w:rPr>
          <w:rFonts w:ascii="Times New Roman" w:hAnsi="Times New Roman"/>
          <w:sz w:val="28"/>
          <w:szCs w:val="28"/>
        </w:rPr>
        <w:t>а</w:t>
      </w:r>
      <w:r w:rsidR="00B22860" w:rsidRPr="00BA321C">
        <w:rPr>
          <w:rFonts w:ascii="Times New Roman" w:hAnsi="Times New Roman"/>
          <w:sz w:val="28"/>
          <w:szCs w:val="28"/>
        </w:rPr>
        <w:t xml:space="preserve"> населением деятельности органов исполнительной власти субъекта Российской Федерации</w:t>
      </w:r>
      <w:r w:rsidRPr="00BA321C">
        <w:rPr>
          <w:rFonts w:ascii="Times New Roman" w:hAnsi="Times New Roman"/>
          <w:sz w:val="28"/>
          <w:szCs w:val="28"/>
        </w:rPr>
        <w:t xml:space="preserve"> (значение весового коэффициента 0,2). </w:t>
      </w:r>
    </w:p>
    <w:p w:rsidR="004A03F0" w:rsidRPr="00BA321C" w:rsidRDefault="009E3A0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абсолютном большинстве разработанных и использующихся рейтингов</w:t>
      </w:r>
      <w:r w:rsidR="00C9737E" w:rsidRPr="00BA321C">
        <w:rPr>
          <w:rFonts w:ascii="Times New Roman" w:hAnsi="Times New Roman"/>
          <w:sz w:val="28"/>
          <w:szCs w:val="28"/>
        </w:rPr>
        <w:t>, как это было отмечено выше,</w:t>
      </w:r>
      <w:r w:rsidR="00583660" w:rsidRPr="00BA321C">
        <w:rPr>
          <w:rFonts w:ascii="Times New Roman" w:hAnsi="Times New Roman"/>
          <w:sz w:val="28"/>
          <w:szCs w:val="28"/>
        </w:rPr>
        <w:t xml:space="preserve"> и вовсе можно наблюдать отсутствие учета весовых коэффициентов (рейтинг </w:t>
      </w:r>
      <w:r w:rsidR="004A03F0" w:rsidRPr="00BA321C">
        <w:rPr>
          <w:rFonts w:ascii="Times New Roman" w:hAnsi="Times New Roman"/>
          <w:sz w:val="28"/>
          <w:szCs w:val="28"/>
        </w:rPr>
        <w:t xml:space="preserve">социально-экономического положения субъектов РФ Агентства «РИА-новости», </w:t>
      </w:r>
      <w:r w:rsidRPr="00BA321C">
        <w:rPr>
          <w:rFonts w:ascii="Times New Roman" w:hAnsi="Times New Roman"/>
          <w:sz w:val="28"/>
          <w:szCs w:val="28"/>
        </w:rPr>
        <w:t xml:space="preserve">Рейтинг качества стратегий социально-экономического развития регионов </w:t>
      </w:r>
      <w:r w:rsidR="00B22860" w:rsidRPr="00BA321C">
        <w:rPr>
          <w:rFonts w:ascii="Times New Roman" w:hAnsi="Times New Roman"/>
          <w:sz w:val="28"/>
          <w:szCs w:val="28"/>
        </w:rPr>
        <w:t xml:space="preserve">Рейтингового агентства «Эксперт РА» и </w:t>
      </w:r>
      <w:r w:rsidR="001E5353" w:rsidRPr="00BA321C">
        <w:rPr>
          <w:rFonts w:ascii="Times New Roman" w:hAnsi="Times New Roman"/>
          <w:sz w:val="28"/>
          <w:szCs w:val="28"/>
        </w:rPr>
        <w:t>др.</w:t>
      </w:r>
      <w:r w:rsidR="00B22860" w:rsidRPr="00BA321C">
        <w:rPr>
          <w:rFonts w:ascii="Times New Roman" w:hAnsi="Times New Roman"/>
          <w:sz w:val="28"/>
          <w:szCs w:val="28"/>
        </w:rPr>
        <w:t>)</w:t>
      </w:r>
    </w:p>
    <w:p w:rsidR="00F0138C" w:rsidRPr="00BA321C" w:rsidRDefault="00F0138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Кроме того, они носят достаточно обобщенны</w:t>
      </w:r>
      <w:r w:rsidR="00C9737E" w:rsidRPr="00BA321C">
        <w:rPr>
          <w:rFonts w:ascii="Times New Roman" w:hAnsi="Times New Roman"/>
          <w:sz w:val="28"/>
          <w:szCs w:val="28"/>
        </w:rPr>
        <w:t>й</w:t>
      </w:r>
      <w:r w:rsidRPr="00BA321C">
        <w:rPr>
          <w:rFonts w:ascii="Times New Roman" w:hAnsi="Times New Roman"/>
          <w:sz w:val="28"/>
          <w:szCs w:val="28"/>
        </w:rPr>
        <w:t xml:space="preserve"> характер и направлены на идентификацию общей оценки развития регионов. Вместе с тем анализ развития производительных сил носит в определенной степени профильный характер и должен включать в себя исключительно показатели, влияющие на перспективность </w:t>
      </w:r>
      <w:r w:rsidR="001E5353" w:rsidRPr="00BA321C">
        <w:rPr>
          <w:rFonts w:ascii="Times New Roman" w:hAnsi="Times New Roman"/>
          <w:sz w:val="28"/>
          <w:szCs w:val="28"/>
        </w:rPr>
        <w:t xml:space="preserve">и потенциал </w:t>
      </w:r>
      <w:r w:rsidRPr="00BA321C">
        <w:rPr>
          <w:rFonts w:ascii="Times New Roman" w:hAnsi="Times New Roman"/>
          <w:sz w:val="28"/>
          <w:szCs w:val="28"/>
        </w:rPr>
        <w:t>развития тех и ли иных производительных сил. При этом, конечно же во многом, состав факторов</w:t>
      </w:r>
      <w:r w:rsidR="001E5353" w:rsidRPr="00BA321C">
        <w:rPr>
          <w:rFonts w:ascii="Times New Roman" w:hAnsi="Times New Roman"/>
          <w:sz w:val="28"/>
          <w:szCs w:val="28"/>
        </w:rPr>
        <w:t>, включаемых в модель оценки социально-экономической привлекательности размещения и развития производительных мил,</w:t>
      </w:r>
      <w:r w:rsidRPr="00BA321C">
        <w:rPr>
          <w:rFonts w:ascii="Times New Roman" w:hAnsi="Times New Roman"/>
          <w:sz w:val="28"/>
          <w:szCs w:val="28"/>
        </w:rPr>
        <w:t xml:space="preserve"> может совпадать</w:t>
      </w:r>
      <w:r w:rsidR="001E5353" w:rsidRPr="00BA321C">
        <w:rPr>
          <w:rFonts w:ascii="Times New Roman" w:hAnsi="Times New Roman"/>
          <w:sz w:val="28"/>
          <w:szCs w:val="28"/>
        </w:rPr>
        <w:t xml:space="preserve"> с классическими рейтинговыми оценками социально-экономического положения регионов</w:t>
      </w:r>
      <w:r w:rsidRPr="00BA321C">
        <w:rPr>
          <w:rFonts w:ascii="Times New Roman" w:hAnsi="Times New Roman"/>
          <w:sz w:val="28"/>
          <w:szCs w:val="28"/>
        </w:rPr>
        <w:t xml:space="preserve">, однако они должны учитывать основной </w:t>
      </w:r>
      <w:r w:rsidR="001E5353" w:rsidRPr="00BA321C">
        <w:rPr>
          <w:rFonts w:ascii="Times New Roman" w:hAnsi="Times New Roman"/>
          <w:sz w:val="28"/>
          <w:szCs w:val="28"/>
        </w:rPr>
        <w:t>объект</w:t>
      </w:r>
      <w:r w:rsidRPr="00BA321C">
        <w:rPr>
          <w:rFonts w:ascii="Times New Roman" w:hAnsi="Times New Roman"/>
          <w:sz w:val="28"/>
          <w:szCs w:val="28"/>
        </w:rPr>
        <w:t xml:space="preserve"> исследования. В нашем случае </w:t>
      </w:r>
      <w:r w:rsidR="00C9737E" w:rsidRPr="00BA321C">
        <w:rPr>
          <w:rFonts w:ascii="Times New Roman" w:hAnsi="Times New Roman"/>
          <w:sz w:val="28"/>
          <w:szCs w:val="28"/>
        </w:rPr>
        <w:t>–</w:t>
      </w:r>
      <w:r w:rsidR="00C851C4" w:rsidRPr="00BA321C">
        <w:rPr>
          <w:rFonts w:ascii="Times New Roman" w:hAnsi="Times New Roman"/>
          <w:sz w:val="28"/>
          <w:szCs w:val="28"/>
        </w:rPr>
        <w:t xml:space="preserve"> </w:t>
      </w:r>
      <w:r w:rsidR="00C9737E" w:rsidRPr="00BA321C">
        <w:rPr>
          <w:rFonts w:ascii="Times New Roman" w:hAnsi="Times New Roman"/>
          <w:sz w:val="28"/>
          <w:szCs w:val="28"/>
        </w:rPr>
        <w:t>региональные производительные силы</w:t>
      </w:r>
      <w:r w:rsidRPr="00BA321C">
        <w:rPr>
          <w:rFonts w:ascii="Times New Roman" w:hAnsi="Times New Roman"/>
          <w:sz w:val="28"/>
          <w:szCs w:val="28"/>
        </w:rPr>
        <w:t xml:space="preserve">. </w:t>
      </w:r>
    </w:p>
    <w:p w:rsidR="00F0138C" w:rsidRPr="00BA321C" w:rsidRDefault="00C851C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Абсолютное большинство рейтингов направлено на обзор и диагностику сугубо конъюнктурных параметров социально-экономического развития региональных систем. Однако, с точки зрения целесообразности </w:t>
      </w:r>
      <w:r w:rsidRPr="00BA321C">
        <w:rPr>
          <w:rFonts w:ascii="Times New Roman" w:hAnsi="Times New Roman"/>
          <w:sz w:val="28"/>
          <w:szCs w:val="28"/>
        </w:rPr>
        <w:lastRenderedPageBreak/>
        <w:t>развития производительных сил, такой подход не достаточен. Существует необходимость оценки, как это уже ранее нами обосновывалось, институциональных, фундаментальных факторов, оценивающих стратегические направления и возможности развития региональных систем. Именно данная позиция во многом обуславливает актуальность разработанного в диссертационном исследовании индекса, оценивающего социально-экономическую привлекательность регионов с позиции перспектив развития на их территориях производительных сил различного профиля, соответствующего выявленному потенциалу системы.</w:t>
      </w:r>
      <w:r w:rsidR="00C9737E" w:rsidRPr="00BA321C">
        <w:rPr>
          <w:rFonts w:ascii="Times New Roman" w:hAnsi="Times New Roman"/>
          <w:sz w:val="28"/>
          <w:szCs w:val="28"/>
        </w:rPr>
        <w:t xml:space="preserve"> </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Социально-экономическое развитие регионов во многом, если не сказать, полностью определяется организационно-экономическим развитием производительных сил. Это связано взаимообусловленностью двух рассматриваемых процессов. Во-первых, региональные производительные силы формируют институциональную, организационную, несомненно промышленно-производственную, инфраструктурную, социальную и экологическую среды. Во-вторых, социально-экономическое положение регионов характеризуется тем же самым набором характеристик. Таким образом, можно утверждать, что при оценке социально-экономического положения региона необходимо подвергать анализу и диагностике процессы организационно-экономического развития производительных сил и наоборот. Следуя данной гипотезе можно сделать вывод о том, что в основе комплексного анализа социально-экономического положения региона, как главного инструмента при принятии решений о развитии и размещении производительных сил, необходимо учитывать структурообразующие факторы организационно-экономического развития производительных сил. Ранее нами утверждалось, что обязательным при изучении организационно-экономического развития и размещения региональных производительных сил и тем более при изучении системы оценок эффективности их развития является выделение ключевых структурообразующих факторов технологического уклада, соответствующего тому или иному этапу </w:t>
      </w:r>
      <w:r w:rsidRPr="00BA321C">
        <w:rPr>
          <w:rFonts w:ascii="Times New Roman" w:hAnsi="Times New Roman"/>
          <w:sz w:val="28"/>
          <w:szCs w:val="28"/>
        </w:rPr>
        <w:lastRenderedPageBreak/>
        <w:t>исторического развития. Итак, если следовать логике пятого технологического уклада, соответствующего современному этапу развития национальной и региональной экономики России, организационно-экономическое развитие производительных сил и укрепление их конкурентоспособности должно осуществляться посредством укрепления ресурсной базы. Таким образом, первая группа показателей, оценивающих эффективность развития и размещения производительных сил, должна в себя включать показатели, отражающие качество ресурсной базы, включая показатели инфраструктурного развития.</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Вместе с тем в условиях ресурсных ограничений важным фактором при оценке эффективности развития производительных сил выступает инвестиционная привлекательность региона, определяющая вторую группу показателей оценки.</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Учитывая то, что конкурентоспособность регионов в ближайшие десятилетия будет формироваться во многом исходя из трансформационных процессов, формирующихся в процессе переходного периода от одного технологического уклада (пятого) к другому (шестому) особую значимость приобретают факторы инновационного воспроизводства производительных сил. Более того чрезмерно актуальными здесь становятся факторы, определяющие качество человеческого капитала. Показатели, оценивающие эффективность развития рассматриваемых факторов, мы отнесем в третью группу.</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К четвертой группе необходимо отнести показатели, характеризующие качество институциональных факторов, определяющих конкурентоспособность и динамику развития производительных сил. </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 пятой группе показателей, оценивающих качество организационно-экономического развития производительных сил относятся показатели, отражающие социально-экологические аспекты.</w:t>
      </w:r>
    </w:p>
    <w:p w:rsidR="00AB1298" w:rsidRPr="00BA321C" w:rsidRDefault="00AB129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настоящее время источниками развития производительных сил региона выступают развивающиеся и расширяющиеся отрасли </w:t>
      </w:r>
      <w:r w:rsidRPr="00BA321C">
        <w:rPr>
          <w:rFonts w:ascii="Times New Roman" w:hAnsi="Times New Roman"/>
          <w:sz w:val="28"/>
          <w:szCs w:val="28"/>
        </w:rPr>
        <w:lastRenderedPageBreak/>
        <w:t>индустриального развития (машиностроение, химия и нефтехимия, другие виды экономической деятельности, относящиеся к обрабатывающей промышленности) сконцентрированные, как правило, в урбанизированных зонах. В связи с этим</w:t>
      </w:r>
      <w:r w:rsidR="00BB4E53" w:rsidRPr="00BA321C">
        <w:rPr>
          <w:rFonts w:ascii="Times New Roman" w:hAnsi="Times New Roman"/>
          <w:sz w:val="28"/>
          <w:szCs w:val="28"/>
        </w:rPr>
        <w:t>, в частности,</w:t>
      </w:r>
      <w:r w:rsidRPr="00BA321C">
        <w:rPr>
          <w:rFonts w:ascii="Times New Roman" w:hAnsi="Times New Roman"/>
          <w:sz w:val="28"/>
          <w:szCs w:val="28"/>
        </w:rPr>
        <w:t xml:space="preserve"> при оценке эффективности и перспектив развития и размещения производительных сил необходимо учитывать и оценивать «демографический каркас» индустриально</w:t>
      </w:r>
      <w:r w:rsidR="00BB4E53" w:rsidRPr="00BA321C">
        <w:rPr>
          <w:rFonts w:ascii="Times New Roman" w:hAnsi="Times New Roman"/>
          <w:sz w:val="28"/>
          <w:szCs w:val="28"/>
        </w:rPr>
        <w:t>-промышленного</w:t>
      </w:r>
      <w:r w:rsidRPr="00BA321C">
        <w:rPr>
          <w:rFonts w:ascii="Times New Roman" w:hAnsi="Times New Roman"/>
          <w:sz w:val="28"/>
          <w:szCs w:val="28"/>
        </w:rPr>
        <w:t xml:space="preserve"> развития регионов</w:t>
      </w:r>
      <w:r w:rsidR="00BB4E53" w:rsidRPr="00BA321C">
        <w:rPr>
          <w:rFonts w:ascii="Times New Roman" w:hAnsi="Times New Roman"/>
          <w:sz w:val="28"/>
          <w:szCs w:val="28"/>
        </w:rPr>
        <w:t>, учитывая многоступенчатость исторически формирующихся</w:t>
      </w:r>
      <w:r w:rsidRPr="00BA321C">
        <w:rPr>
          <w:rFonts w:ascii="Times New Roman" w:hAnsi="Times New Roman"/>
          <w:sz w:val="28"/>
          <w:szCs w:val="28"/>
        </w:rPr>
        <w:t xml:space="preserve"> агломерационных зон, обладающих комплексом быстро развивающихся производств. Таким образом, в шестую группу показателей, оценивающих эффективность организационно-экономического развития производительных сил, </w:t>
      </w:r>
      <w:r w:rsidR="00F72F77" w:rsidRPr="00BA321C">
        <w:rPr>
          <w:rFonts w:ascii="Times New Roman" w:hAnsi="Times New Roman"/>
          <w:sz w:val="28"/>
          <w:szCs w:val="28"/>
        </w:rPr>
        <w:t>необходимо отнести</w:t>
      </w:r>
      <w:r w:rsidRPr="00BA321C">
        <w:rPr>
          <w:rFonts w:ascii="Times New Roman" w:hAnsi="Times New Roman"/>
          <w:sz w:val="28"/>
          <w:szCs w:val="28"/>
        </w:rPr>
        <w:t xml:space="preserve"> показатели, характеризующие «демографический каркас» региона со всем многообразием входящих в него агломерационных зон.</w:t>
      </w:r>
    </w:p>
    <w:p w:rsidR="00456B4C" w:rsidRPr="00BA321C" w:rsidRDefault="00456B4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Изучение и обоснование разнообразного состава факторов, влияющих на оценки социально-экономической привлекательности регионов с позиции перспектив развития региональных производительных сил, требует дополнительных проработок и верификации существующих моделей. На сегодняшний момент времени отсутствует единая концепция, которая бы учитывала универсальные общепризнанные алгоритмы и методы определения факторов, влияющих на тренды социально-экономической привлекательности регионов в рассматриваемом в работе контексте. Не менее важным и актуальным остается вопрос определения «силы» воздействия той или иной группы факторов, а также характера взаимосвязи между ними.</w:t>
      </w:r>
    </w:p>
    <w:p w:rsidR="00456B4C" w:rsidRDefault="00456B4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Таким образом разработка и научное обоснование системы факторов, участвующих в моделировании социально-экономической привлекательности регионов с точки зрения определения потенциала развития производительных сил, является крайне важной задачей. При этом представляется совершенно очевидным, что ее решение возможно лишь на базе использования междисциплинарного подхода, учитывающего результаты существующих </w:t>
      </w:r>
      <w:r w:rsidRPr="00BA321C">
        <w:rPr>
          <w:rFonts w:ascii="Times New Roman" w:hAnsi="Times New Roman"/>
          <w:sz w:val="28"/>
          <w:szCs w:val="28"/>
        </w:rPr>
        <w:lastRenderedPageBreak/>
        <w:t>исследований в области экономики, менеджмента, социологии, математики, теории вероятности и т.п.</w:t>
      </w:r>
    </w:p>
    <w:p w:rsidR="005A0B95" w:rsidRDefault="005A0B95" w:rsidP="00BA321C">
      <w:pPr>
        <w:shd w:val="clear" w:color="auto" w:fill="FFFFFF" w:themeFill="background1"/>
        <w:spacing w:after="0" w:line="360" w:lineRule="auto"/>
        <w:ind w:firstLine="851"/>
        <w:jc w:val="both"/>
        <w:rPr>
          <w:rFonts w:ascii="Times New Roman" w:hAnsi="Times New Roman"/>
          <w:sz w:val="28"/>
          <w:szCs w:val="28"/>
        </w:rPr>
      </w:pPr>
    </w:p>
    <w:p w:rsidR="0008776E" w:rsidRPr="00BA321C" w:rsidRDefault="0008776E" w:rsidP="00C35E98">
      <w:pPr>
        <w:pStyle w:val="3"/>
      </w:pPr>
      <w:bookmarkStart w:id="7" w:name="_Toc451869592"/>
      <w:r w:rsidRPr="00BA321C">
        <w:t xml:space="preserve">2.2 </w:t>
      </w:r>
      <w:r w:rsidR="001E140B" w:rsidRPr="00BA321C">
        <w:t>Региональная с</w:t>
      </w:r>
      <w:r w:rsidRPr="00BA321C">
        <w:t xml:space="preserve">оциально-экономическая привлекательность </w:t>
      </w:r>
      <w:r w:rsidR="001E140B" w:rsidRPr="00BA321C">
        <w:t>развития и размещения производительных сил</w:t>
      </w:r>
      <w:r w:rsidRPr="00BA321C">
        <w:t xml:space="preserve">: </w:t>
      </w:r>
      <w:r w:rsidR="00F0491A" w:rsidRPr="00BA321C">
        <w:t>методические</w:t>
      </w:r>
      <w:r w:rsidRPr="00BA321C">
        <w:t xml:space="preserve"> подходы к измерению </w:t>
      </w:r>
      <w:r w:rsidR="00F0491A" w:rsidRPr="00BA321C">
        <w:t xml:space="preserve">и оценке </w:t>
      </w:r>
      <w:r w:rsidRPr="00BA321C">
        <w:t>(на примере регионов Приволжского федерального округа)</w:t>
      </w:r>
      <w:bookmarkEnd w:id="7"/>
    </w:p>
    <w:p w:rsidR="0008776E" w:rsidRPr="00BA321C" w:rsidRDefault="00E60B6C"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Ранее нами утверждалось, что в целях повышения качества и обоснованности принимаемых решений в сфере регулирования процессов развития </w:t>
      </w:r>
      <w:r w:rsidR="00F72F77" w:rsidRPr="00BA321C">
        <w:rPr>
          <w:rFonts w:ascii="Times New Roman" w:hAnsi="Times New Roman"/>
          <w:sz w:val="28"/>
          <w:szCs w:val="28"/>
        </w:rPr>
        <w:t>производительных сил</w:t>
      </w:r>
      <w:r w:rsidRPr="00BA321C">
        <w:rPr>
          <w:rFonts w:ascii="Times New Roman" w:hAnsi="Times New Roman"/>
          <w:sz w:val="28"/>
          <w:szCs w:val="28"/>
        </w:rPr>
        <w:t>, а также научно-обоснованным определением основных приоритетов в области региональной государственной политики существует необходимость в оценке и изучении социально-экономической привлекательности регионов.</w:t>
      </w:r>
      <w:r w:rsidR="00DE50AD" w:rsidRPr="00BA321C">
        <w:rPr>
          <w:rFonts w:ascii="Times New Roman" w:hAnsi="Times New Roman"/>
          <w:sz w:val="28"/>
          <w:szCs w:val="28"/>
        </w:rPr>
        <w:t xml:space="preserve"> </w:t>
      </w:r>
    </w:p>
    <w:p w:rsidR="00BD3D69" w:rsidRPr="00BA321C" w:rsidRDefault="00282AB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Р</w:t>
      </w:r>
      <w:r w:rsidR="00E60B6C" w:rsidRPr="00BA321C">
        <w:rPr>
          <w:rFonts w:ascii="Times New Roman" w:hAnsi="Times New Roman"/>
          <w:sz w:val="28"/>
          <w:szCs w:val="28"/>
        </w:rPr>
        <w:t xml:space="preserve">ассматривая выше методические подходы к оценке социальных и экономических процессов развития регионов упоминалось ряд </w:t>
      </w:r>
      <w:r w:rsidR="008F7EF7" w:rsidRPr="00BA321C">
        <w:rPr>
          <w:rFonts w:ascii="Times New Roman" w:hAnsi="Times New Roman"/>
          <w:sz w:val="28"/>
          <w:szCs w:val="28"/>
        </w:rPr>
        <w:t xml:space="preserve">характерных </w:t>
      </w:r>
      <w:r w:rsidR="00E60B6C" w:rsidRPr="00BA321C">
        <w:rPr>
          <w:rFonts w:ascii="Times New Roman" w:hAnsi="Times New Roman"/>
          <w:sz w:val="28"/>
          <w:szCs w:val="28"/>
        </w:rPr>
        <w:t>проблем</w:t>
      </w:r>
      <w:r w:rsidR="008F7EF7" w:rsidRPr="00BA321C">
        <w:rPr>
          <w:rFonts w:ascii="Times New Roman" w:hAnsi="Times New Roman"/>
          <w:sz w:val="28"/>
          <w:szCs w:val="28"/>
        </w:rPr>
        <w:t>. К ним мы отнесли, в частности то, что все исследования концентрируют свое внимание</w:t>
      </w:r>
      <w:r w:rsidRPr="00BA321C">
        <w:rPr>
          <w:rFonts w:ascii="Times New Roman" w:hAnsi="Times New Roman"/>
          <w:sz w:val="28"/>
          <w:szCs w:val="28"/>
        </w:rPr>
        <w:t>, преимущественно,</w:t>
      </w:r>
      <w:r w:rsidR="008F7EF7" w:rsidRPr="00BA321C">
        <w:rPr>
          <w:rFonts w:ascii="Times New Roman" w:hAnsi="Times New Roman"/>
          <w:sz w:val="28"/>
          <w:szCs w:val="28"/>
        </w:rPr>
        <w:t xml:space="preserve"> на изучении двух групп факторов (социальных и экономических) и, в последующем, на их основе определение сводного интегрального показателя.</w:t>
      </w:r>
      <w:r w:rsidR="007A6D3F" w:rsidRPr="00BA321C">
        <w:rPr>
          <w:rFonts w:ascii="Times New Roman" w:hAnsi="Times New Roman"/>
          <w:sz w:val="28"/>
          <w:szCs w:val="28"/>
        </w:rPr>
        <w:t xml:space="preserve"> </w:t>
      </w:r>
      <w:r w:rsidRPr="00BA321C">
        <w:rPr>
          <w:rFonts w:ascii="Times New Roman" w:hAnsi="Times New Roman"/>
          <w:sz w:val="28"/>
          <w:szCs w:val="28"/>
        </w:rPr>
        <w:t xml:space="preserve">При этом некоторые авторы пытаются осуществить мероприятия, направленные на </w:t>
      </w:r>
      <w:r w:rsidR="00746F24" w:rsidRPr="00BA321C">
        <w:rPr>
          <w:rFonts w:ascii="Times New Roman" w:hAnsi="Times New Roman"/>
          <w:sz w:val="28"/>
          <w:szCs w:val="28"/>
        </w:rPr>
        <w:t xml:space="preserve">определение однородных подгрупп факторов, характеризующих в последующем </w:t>
      </w:r>
      <w:r w:rsidR="006C46E0" w:rsidRPr="00BA321C">
        <w:rPr>
          <w:rFonts w:ascii="Times New Roman" w:hAnsi="Times New Roman"/>
          <w:sz w:val="28"/>
          <w:szCs w:val="28"/>
        </w:rPr>
        <w:t xml:space="preserve">интегральный </w:t>
      </w:r>
      <w:r w:rsidR="00746F24" w:rsidRPr="00BA321C">
        <w:rPr>
          <w:rFonts w:ascii="Times New Roman" w:hAnsi="Times New Roman"/>
          <w:sz w:val="28"/>
          <w:szCs w:val="28"/>
        </w:rPr>
        <w:t>показатель либо социальных, либо экономических процессов развития регионов. Таким образом, осуществляя более глубокую детализацию групп и подгрупп, характеризующих социально-экономическую привлекательность</w:t>
      </w:r>
      <w:r w:rsidR="00F72F77" w:rsidRPr="00BA321C">
        <w:rPr>
          <w:rFonts w:ascii="Times New Roman" w:hAnsi="Times New Roman"/>
          <w:sz w:val="28"/>
          <w:szCs w:val="28"/>
        </w:rPr>
        <w:t xml:space="preserve"> регионов</w:t>
      </w:r>
      <w:r w:rsidR="00746F24" w:rsidRPr="00BA321C">
        <w:rPr>
          <w:rFonts w:ascii="Times New Roman" w:hAnsi="Times New Roman"/>
          <w:sz w:val="28"/>
          <w:szCs w:val="28"/>
        </w:rPr>
        <w:t xml:space="preserve">. </w:t>
      </w:r>
    </w:p>
    <w:p w:rsidR="000F4079" w:rsidRPr="00BA321C" w:rsidRDefault="006C46E0"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Также существенным недостатком существующих рейтинговых оценок регионов является то, что они учитывают сугубо текущие параметры развития и не используют показатели институционального порядка, формирующие основы перспективного развития производительных сил. Таким образом их использование в контексте поставленной в </w:t>
      </w:r>
      <w:r w:rsidRPr="00BA321C">
        <w:rPr>
          <w:rFonts w:ascii="Times New Roman" w:hAnsi="Times New Roman"/>
          <w:sz w:val="28"/>
          <w:szCs w:val="28"/>
        </w:rPr>
        <w:lastRenderedPageBreak/>
        <w:t>диссертационной работе проблемы не корректно. Еще одним недостатком является отсутствие механизмов «взвешивания» индикаторов и субиндексов, формирующих интегральные оценки социально-экономического положения регионов.</w:t>
      </w:r>
      <w:r w:rsidR="00BD3D69" w:rsidRPr="00BA321C">
        <w:rPr>
          <w:rFonts w:ascii="Times New Roman" w:hAnsi="Times New Roman"/>
          <w:sz w:val="28"/>
          <w:szCs w:val="28"/>
        </w:rPr>
        <w:t xml:space="preserve"> </w:t>
      </w:r>
      <w:r w:rsidR="000F4079" w:rsidRPr="00BA321C">
        <w:rPr>
          <w:rFonts w:ascii="Times New Roman" w:hAnsi="Times New Roman"/>
          <w:sz w:val="28"/>
          <w:szCs w:val="28"/>
        </w:rPr>
        <w:t>В подавляющем большинстве случаев рейтинговый балл субъекта РФ по каждой группе показателей определяется как среднее арифметическое рейтинговых баллов всех входящих в группу показателей.</w:t>
      </w:r>
    </w:p>
    <w:p w:rsidR="000F4079" w:rsidRPr="00BA321C" w:rsidRDefault="000F4079"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Актуализирует предлагаемые в работе методические подходы к оценке социально-экономической привлекательности регионов также и то, что они разработаны исключительно с учетом </w:t>
      </w:r>
      <w:r w:rsidR="00066A7E" w:rsidRPr="00BA321C">
        <w:rPr>
          <w:rFonts w:ascii="Times New Roman" w:hAnsi="Times New Roman"/>
          <w:sz w:val="28"/>
          <w:szCs w:val="28"/>
        </w:rPr>
        <w:t>оценки региональных потенциалов размещения и развития производительных сил. В то же время существующие общеизвестные методы определения рейтинговых оценок социально-экономического положения регионов носят исключительно общий характер и направлены на выявление общего, интегрального потенциала региональной системы в целом</w:t>
      </w:r>
      <w:r w:rsidR="00BD3D69" w:rsidRPr="00BA321C">
        <w:rPr>
          <w:rFonts w:ascii="Times New Roman" w:hAnsi="Times New Roman"/>
          <w:sz w:val="28"/>
          <w:szCs w:val="28"/>
        </w:rPr>
        <w:t>, основанного на текущих значениях показателей эффективности</w:t>
      </w:r>
      <w:r w:rsidR="00066A7E" w:rsidRPr="00BA321C">
        <w:rPr>
          <w:rFonts w:ascii="Times New Roman" w:hAnsi="Times New Roman"/>
          <w:sz w:val="28"/>
          <w:szCs w:val="28"/>
        </w:rPr>
        <w:t>.</w:t>
      </w:r>
    </w:p>
    <w:p w:rsidR="00376DF1" w:rsidRPr="00BA321C" w:rsidRDefault="00376DF1"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Кроме того, </w:t>
      </w:r>
      <w:r w:rsidR="00F645AD" w:rsidRPr="00BA321C">
        <w:rPr>
          <w:rFonts w:ascii="Times New Roman" w:hAnsi="Times New Roman"/>
          <w:sz w:val="28"/>
          <w:szCs w:val="28"/>
        </w:rPr>
        <w:t>проведенный</w:t>
      </w:r>
      <w:r w:rsidR="00E12E94" w:rsidRPr="00BA321C">
        <w:rPr>
          <w:rFonts w:ascii="Times New Roman" w:hAnsi="Times New Roman"/>
          <w:sz w:val="28"/>
          <w:szCs w:val="28"/>
        </w:rPr>
        <w:t xml:space="preserve"> анализ продемонстрировал, что существующие подходы к изучению уровня развития социально-экономической привлекательности регионов, ориентированы на измерение сводного интегрального индекса. В то время как анализ и диагностика отдельных параметров, факторов и однородных групп остается на втором плане. </w:t>
      </w:r>
      <w:r w:rsidR="00B97296" w:rsidRPr="00BA321C">
        <w:rPr>
          <w:rFonts w:ascii="Times New Roman" w:hAnsi="Times New Roman"/>
          <w:sz w:val="28"/>
          <w:szCs w:val="28"/>
        </w:rPr>
        <w:t xml:space="preserve">Это не позволяет получить объективное представление о направленности и потенциале отдельных факторов, определяющих </w:t>
      </w:r>
      <w:r w:rsidR="00F645AD" w:rsidRPr="00BA321C">
        <w:rPr>
          <w:rFonts w:ascii="Times New Roman" w:hAnsi="Times New Roman"/>
          <w:sz w:val="28"/>
          <w:szCs w:val="28"/>
        </w:rPr>
        <w:t>социальные и экономические процессы региона, как в отдельности, так и в совокупности.</w:t>
      </w:r>
    </w:p>
    <w:p w:rsidR="00B97296" w:rsidRPr="00BA321C" w:rsidRDefault="00F645AD"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Вместе с тем общеизвестно, что системный анализ, как один из наиболее комплексных и полноценных видов диагностики изучаемых явлений и процессов, предполагает</w:t>
      </w:r>
      <w:r w:rsidR="00CF39E7" w:rsidRPr="00BA321C">
        <w:rPr>
          <w:rFonts w:ascii="Times New Roman" w:hAnsi="Times New Roman"/>
          <w:sz w:val="28"/>
          <w:szCs w:val="28"/>
        </w:rPr>
        <w:t xml:space="preserve"> изучение системы через познание элементов ее образующих. Таким образом, применительно к изучаемым в диссертации вопросам существует необходимость в расширении спектра группировок </w:t>
      </w:r>
      <w:r w:rsidR="00CF39E7" w:rsidRPr="00BA321C">
        <w:rPr>
          <w:rFonts w:ascii="Times New Roman" w:hAnsi="Times New Roman"/>
          <w:sz w:val="28"/>
          <w:szCs w:val="28"/>
        </w:rPr>
        <w:lastRenderedPageBreak/>
        <w:t>факторов</w:t>
      </w:r>
      <w:r w:rsidR="00C154CD" w:rsidRPr="00BA321C">
        <w:rPr>
          <w:rFonts w:ascii="Times New Roman" w:hAnsi="Times New Roman"/>
          <w:sz w:val="28"/>
          <w:szCs w:val="28"/>
        </w:rPr>
        <w:t xml:space="preserve"> (элементов)</w:t>
      </w:r>
      <w:r w:rsidR="00CF39E7" w:rsidRPr="00BA321C">
        <w:rPr>
          <w:rFonts w:ascii="Times New Roman" w:hAnsi="Times New Roman"/>
          <w:sz w:val="28"/>
          <w:szCs w:val="28"/>
        </w:rPr>
        <w:t>, характеризующих комплекс социально-экономического развития регионов.</w:t>
      </w:r>
    </w:p>
    <w:p w:rsidR="00FB5018" w:rsidRPr="00BA321C" w:rsidRDefault="00C1262C"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Исходя из представленных выше рассуждений и теоретико-методологических обоснований к оценке социально-экономической привлекательности размещения региональных производительных сил ниже представлен концептуальный алгоритм</w:t>
      </w:r>
      <w:r w:rsidR="00BF5D82" w:rsidRPr="00BA321C">
        <w:rPr>
          <w:rFonts w:ascii="Times New Roman" w:hAnsi="Times New Roman"/>
          <w:sz w:val="28"/>
          <w:szCs w:val="28"/>
          <w:lang w:eastAsia="ru-RU"/>
        </w:rPr>
        <w:t>, а также экономико-математическая модель</w:t>
      </w:r>
      <w:r w:rsidRPr="00BA321C">
        <w:rPr>
          <w:rFonts w:ascii="Times New Roman" w:hAnsi="Times New Roman"/>
          <w:sz w:val="28"/>
          <w:szCs w:val="28"/>
          <w:lang w:eastAsia="ru-RU"/>
        </w:rPr>
        <w:t xml:space="preserve"> определения интегрального индекса социально-экономической привлекательности региона </w:t>
      </w:r>
      <w:r w:rsidR="00BD3D69" w:rsidRPr="00BA321C">
        <w:rPr>
          <w:rFonts w:ascii="Times New Roman" w:hAnsi="Times New Roman"/>
          <w:sz w:val="28"/>
          <w:szCs w:val="28"/>
          <w:lang w:eastAsia="ru-RU"/>
        </w:rPr>
        <w:t xml:space="preserve">в контексте изучаемой в диссертационной работе проблемы </w:t>
      </w:r>
      <w:r w:rsidRPr="00BA321C">
        <w:rPr>
          <w:rFonts w:ascii="Times New Roman" w:hAnsi="Times New Roman"/>
          <w:sz w:val="28"/>
          <w:szCs w:val="28"/>
          <w:lang w:eastAsia="ru-RU"/>
        </w:rPr>
        <w:t>(индекса СЭП).</w:t>
      </w:r>
      <w:r w:rsidR="00062007" w:rsidRPr="00BA321C">
        <w:rPr>
          <w:rFonts w:ascii="Times New Roman" w:hAnsi="Times New Roman"/>
          <w:sz w:val="28"/>
          <w:szCs w:val="28"/>
          <w:lang w:eastAsia="ru-RU"/>
        </w:rPr>
        <w:t xml:space="preserve"> </w: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48352" behindDoc="0" locked="0" layoutInCell="1" allowOverlap="1" wp14:anchorId="0DE1765F" wp14:editId="1D86D5C8">
                <wp:simplePos x="0" y="0"/>
                <wp:positionH relativeFrom="margin">
                  <wp:align>center</wp:align>
                </wp:positionH>
                <wp:positionV relativeFrom="paragraph">
                  <wp:posOffset>5080</wp:posOffset>
                </wp:positionV>
                <wp:extent cx="5448300" cy="409575"/>
                <wp:effectExtent l="0" t="0" r="19050" b="28575"/>
                <wp:wrapNone/>
                <wp:docPr id="46"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48300" cy="40957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821F06" w:rsidRDefault="005A0B95" w:rsidP="00FB5018">
                            <w:pPr>
                              <w:spacing w:after="0" w:line="240" w:lineRule="auto"/>
                              <w:jc w:val="center"/>
                              <w:rPr>
                                <w:sz w:val="18"/>
                              </w:rPr>
                            </w:pPr>
                            <w:r>
                              <w:rPr>
                                <w:rFonts w:ascii="Times New Roman" w:hAnsi="Times New Roman"/>
                                <w:sz w:val="20"/>
                                <w:szCs w:val="28"/>
                              </w:rPr>
                              <w:t xml:space="preserve">Этап1. </w:t>
                            </w:r>
                            <w:r w:rsidRPr="00821F06">
                              <w:rPr>
                                <w:rFonts w:ascii="Times New Roman" w:hAnsi="Times New Roman"/>
                                <w:sz w:val="20"/>
                                <w:szCs w:val="28"/>
                              </w:rPr>
                              <w:t xml:space="preserve">Генерация статистической информационной базы показателей, влияющих на </w:t>
                            </w:r>
                            <w:r>
                              <w:rPr>
                                <w:rFonts w:ascii="Times New Roman" w:hAnsi="Times New Roman"/>
                                <w:sz w:val="20"/>
                                <w:szCs w:val="28"/>
                              </w:rPr>
                              <w:t>социально-экономическую привлекательность региона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1765F" id="Скругленный прямоугольник 4" o:spid="_x0000_s1026" style="position:absolute;left:0;text-align:left;margin-left:0;margin-top:.4pt;width:429pt;height:32.25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fDJyQIAAGQFAAAOAAAAZHJzL2Uyb0RvYy54bWysVM1uEzEQviPxDpbvdDdh05+omyptVIQU&#10;tRUt6tnxerMr/IftZFNOlTiCxDPwDAgJWlpeYfNGjL2bNi09Ifaw8njG8/PNfLO7txAczZmxpZIp&#10;7mzEGDFJVVbKaYrfnh2+2MbIOiIzwpVkKb5gFu8Nnj/brXSfdVWheMYMAifS9iud4sI53Y8iSwsm&#10;iN1QmklQ5soI4kA00ygzpALvgkfdON6MKmUybRRl1sLtqFHiQfCf54y64zy3zCGeYsjNhb8J/4n/&#10;R4Nd0p8aoouStmmQf8hCkFJC0DtXI+IImpnyL1eipEZZlbsNqkSk8rykLNQA1XTiR9WcFkSzUAuA&#10;Y/UdTPb/uaVH8xODyizFySZGkgjoUf21vlpeLj/W3+rr+nt9U98sP9U/Uf0bLr/Uv+rboLqtr5ef&#10;QfmjvkKJx7HStg/uTvWJ8UhYPVb0nQVF9EDjBdvaLHIjvC3ggBahKRd3TWELhyhc9pJk+2UMvaOg&#10;S+Kd3lbPR4tIf/VaG+teMSWQP6TYqJnM3kDnQ0PIfGxdY7+yC9kpXmaHJedBMNPJATdoTmBKevs7&#10;+6NVCLtuxiWqYMa7WyEbAtOac+IgMaEBPyunGBE+BRpQZ0LsB6/tE0FC8IJkrA0dw9cW15qHQh/4&#10;8VWMiC2aJ0HVTLEoHVCJlyLF297RyhOXPgwLZGixuO+BP7nFZNH2b6KyC5gHoxqiWE0PS4g3Jtad&#10;EAPMgD4A290x/HKuAA7VnjAqlPnw1L23h4EFLUYVMA2gej8jhmHEX0sY5Z1OknhqBiHpbXVBMOua&#10;ybpGzsSBgjZ1YK9oGo7e3vHVMTdKnMNSGPqooCKSQuymKa1w4JoNAGuFsuEwmAEdNXFjeaqpd+4h&#10;80ifLc6J0e1kOZjJI7ViJek/mq3G1r+UajhzKi/D4HmIG1xbKgCVQ1vbteN3xbocrO6X4+APAAAA&#10;//8DAFBLAwQUAAYACAAAACEAZ53i+NoAAAAEAQAADwAAAGRycy9kb3ducmV2LnhtbEyPwU7DMBBE&#10;70j8g7VI3KjTQqsoZFNVQMWlQiLwAW68TaLG6yh22pSvZznR42hGM2/y9eQ6daIhtJ4R5rMEFHHl&#10;bcs1wvfX9iEFFaJhazrPhHChAOvi9iY3mfVn/qRTGWslJRwyg9DE2Gdah6ohZ8LM98TiHfzgTBQ5&#10;1NoO5izlrtOLJFlpZ1qWhcb09NJQdSxHh+BKF98ui3S3Gd9/Xg+7bfh46gPi/d20eQYVaYr/YfjD&#10;F3QohGnvR7ZBdQhyJCIIvXjpMhW5R1gtH0EXub6GL34BAAD//wMAUEsBAi0AFAAGAAgAAAAhALaD&#10;OJL+AAAA4QEAABMAAAAAAAAAAAAAAAAAAAAAAFtDb250ZW50X1R5cGVzXS54bWxQSwECLQAUAAYA&#10;CAAAACEAOP0h/9YAAACUAQAACwAAAAAAAAAAAAAAAAAvAQAAX3JlbHMvLnJlbHNQSwECLQAUAAYA&#10;CAAAACEAtX3wyckCAABkBQAADgAAAAAAAAAAAAAAAAAuAgAAZHJzL2Uyb0RvYy54bWxQSwECLQAU&#10;AAYACAAAACEAZ53i+NoAAAAEAQAADwAAAAAAAAAAAAAAAAAjBQAAZHJzL2Rvd25yZXYueG1sUEsF&#10;BgAAAAAEAAQA8wAAACoGAAAAAA==&#10;" fillcolor="#5b9bd5" strokecolor="#41719c" strokeweight="1pt">
                <v:stroke joinstyle="miter"/>
                <v:path arrowok="t"/>
                <v:textbox>
                  <w:txbxContent>
                    <w:p w:rsidR="005A0B95" w:rsidRPr="00821F06" w:rsidRDefault="005A0B95" w:rsidP="00FB5018">
                      <w:pPr>
                        <w:spacing w:after="0" w:line="240" w:lineRule="auto"/>
                        <w:jc w:val="center"/>
                        <w:rPr>
                          <w:sz w:val="18"/>
                        </w:rPr>
                      </w:pPr>
                      <w:r>
                        <w:rPr>
                          <w:rFonts w:ascii="Times New Roman" w:hAnsi="Times New Roman"/>
                          <w:sz w:val="20"/>
                          <w:szCs w:val="28"/>
                        </w:rPr>
                        <w:t xml:space="preserve">Этап1. </w:t>
                      </w:r>
                      <w:r w:rsidRPr="00821F06">
                        <w:rPr>
                          <w:rFonts w:ascii="Times New Roman" w:hAnsi="Times New Roman"/>
                          <w:sz w:val="20"/>
                          <w:szCs w:val="28"/>
                        </w:rPr>
                        <w:t xml:space="preserve">Генерация статистической информационной базы показателей, влияющих на </w:t>
                      </w:r>
                      <w:r>
                        <w:rPr>
                          <w:rFonts w:ascii="Times New Roman" w:hAnsi="Times New Roman"/>
                          <w:sz w:val="20"/>
                          <w:szCs w:val="28"/>
                        </w:rPr>
                        <w:t>социально-экономическую привлекательность региона</w:t>
                      </w:r>
                    </w:p>
                  </w:txbxContent>
                </v:textbox>
                <w10:wrap anchorx="margin"/>
              </v:roundrect>
            </w:pict>
          </mc:Fallback>
        </mc:AlternateConten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299" distR="114299" simplePos="0" relativeHeight="251778048" behindDoc="0" locked="0" layoutInCell="1" allowOverlap="1" wp14:anchorId="58C42722" wp14:editId="781E1625">
                <wp:simplePos x="0" y="0"/>
                <wp:positionH relativeFrom="column">
                  <wp:posOffset>2977514</wp:posOffset>
                </wp:positionH>
                <wp:positionV relativeFrom="paragraph">
                  <wp:posOffset>141605</wp:posOffset>
                </wp:positionV>
                <wp:extent cx="0" cy="228600"/>
                <wp:effectExtent l="76200" t="0" r="57150" b="57150"/>
                <wp:wrapNone/>
                <wp:docPr id="45"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7E5A68AD" id="_x0000_t32" coordsize="21600,21600" o:spt="32" o:oned="t" path="m,l21600,21600e" filled="f">
                <v:path arrowok="t" fillok="f" o:connecttype="none"/>
                <o:lock v:ext="edit" shapetype="t"/>
              </v:shapetype>
              <v:shape id="Прямая со стрелкой 37" o:spid="_x0000_s1026" type="#_x0000_t32" style="position:absolute;margin-left:234.45pt;margin-top:11.15pt;width:0;height:18pt;z-index:251778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aaJFAIAAMsDAAAOAAAAZHJzL2Uyb0RvYy54bWysU0uOEzEQ3SNxB8t70p0MCaGVzkiTMGxG&#10;EGngABW3u9vCP9kmn93ABeYIXGE2LPhoztC5EWXnwwzsEL0o2VXlV5/3enK+UZKsuPPC6JL2ezkl&#10;XDNTCd2U9P27y2djSnwAXYE0mpd0yz09nz59Mlnbgg9Ma2TFHUEQ7Yu1LWkbgi2yzLOWK/A9Y7nG&#10;YG2cgoBX12SVgzWiK5kN8nyUrY2rrDOMe4/e+T5Ipwm/rjkLb+va80BkSbG3kKxLdhltNp1A0Tiw&#10;rWCHNuAfulAgNBY9Qc0hAPnoxF9QSjBnvKlDjxmVmboWjKcZcJp+/sc01y1YnmbB5Xh7WpP/f7Ds&#10;zWrhiKhK+nxIiQaFHHVfdje72+5nd7e7JbtP3T2a3efdTfe1+9F97+67b+TsRdzc2voCAWZ64eLs&#10;bKOv7ZVhHzzGskfBePF2n7apnYrpODzZJCa2Jyb4JhC2dzL0DgbjUZ5IyqA4vrPOh9fcKBIPJfXB&#10;gWjaMDNaI93G9RMRsLryIfYBxfFBLKrNpZAysS41WZd0dDZEXTBA7dUSAh6VxW143VACskFRs+AS&#10;ojdSVPF1xPGuWc6kIytAYQ0vXl7Mh3EjWO1RWiw9B9/u81JoLzklAupeClXScR6/vTuAkK90RcLW&#10;IhHBCdCN5AdkqWNlnlR9GO73XuNpaartwh2Xj4pJDR3UHSX58I7nh//g9BcAAAD//wMAUEsDBBQA&#10;BgAIAAAAIQCCUDo23gAAAAkBAAAPAAAAZHJzL2Rvd25yZXYueG1sTI9NT4QwEIbvJv6HZky8bNxi&#10;V1dEho0fMSbGi6j3AiOgdIq0LPDvrfGgx5l58s7zprvZdGJPg2stI5yuIxDEpa1arhFeX+5PYhDO&#10;a650Z5kQFnKwyw4PUp1UduJn2ue+FiGEXaIRGu/7REpXNmS0W9ueONze7WC0D+NQy2rQUwg3nVRR&#10;tJVGtxw+NLqn24bKz3w0CHY1vqnJLSv5eHFTPKmvu3x5+EA8Ppqvr0B4mv0fDD/6QR2y4FTYkSsn&#10;OoSzbXwZUASlNiAC8LsoEM7jDcgslf8bZN8AAAD//wMAUEsBAi0AFAAGAAgAAAAhALaDOJL+AAAA&#10;4QEAABMAAAAAAAAAAAAAAAAAAAAAAFtDb250ZW50X1R5cGVzXS54bWxQSwECLQAUAAYACAAAACEA&#10;OP0h/9YAAACUAQAACwAAAAAAAAAAAAAAAAAvAQAAX3JlbHMvLnJlbHNQSwECLQAUAAYACAAAACEA&#10;d2mmiRQCAADLAwAADgAAAAAAAAAAAAAAAAAuAgAAZHJzL2Uyb0RvYy54bWxQSwECLQAUAAYACAAA&#10;ACEAglA6Nt4AAAAJAQAADwAAAAAAAAAAAAAAAABuBAAAZHJzL2Rvd25yZXYueG1sUEsFBgAAAAAE&#10;AAQA8wAAAHkFAAAAAA==&#10;" strokecolor="#5b9bd5" strokeweight=".5pt">
                <v:stroke endarrow="block" joinstyle="miter"/>
                <o:lock v:ext="edit" shapetype="f"/>
              </v:shape>
            </w:pict>
          </mc:Fallback>
        </mc:AlternateConten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49376" behindDoc="0" locked="0" layoutInCell="1" allowOverlap="1" wp14:anchorId="35447EA1" wp14:editId="1FBAC3A0">
                <wp:simplePos x="0" y="0"/>
                <wp:positionH relativeFrom="margin">
                  <wp:align>center</wp:align>
                </wp:positionH>
                <wp:positionV relativeFrom="paragraph">
                  <wp:posOffset>118745</wp:posOffset>
                </wp:positionV>
                <wp:extent cx="5448300" cy="457200"/>
                <wp:effectExtent l="0" t="0" r="19050" b="19050"/>
                <wp:wrapNone/>
                <wp:docPr id="43" name="Скругленный 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48300" cy="45720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821F06" w:rsidRDefault="005A0B95" w:rsidP="00FB5018">
                            <w:pPr>
                              <w:jc w:val="center"/>
                              <w:rPr>
                                <w:rFonts w:ascii="Times New Roman" w:hAnsi="Times New Roman"/>
                                <w:sz w:val="20"/>
                                <w:szCs w:val="28"/>
                              </w:rPr>
                            </w:pPr>
                            <w:r>
                              <w:rPr>
                                <w:rFonts w:ascii="Times New Roman" w:hAnsi="Times New Roman"/>
                                <w:sz w:val="20"/>
                                <w:szCs w:val="28"/>
                              </w:rPr>
                              <w:t xml:space="preserve">Этап2. </w:t>
                            </w:r>
                            <w:r w:rsidRPr="00821F06">
                              <w:rPr>
                                <w:rFonts w:ascii="Times New Roman" w:hAnsi="Times New Roman"/>
                                <w:sz w:val="20"/>
                                <w:szCs w:val="28"/>
                              </w:rPr>
                              <w:t xml:space="preserve">Группировка показателей по однородности их состава </w:t>
                            </w:r>
                            <w:r>
                              <w:rPr>
                                <w:rFonts w:ascii="Times New Roman" w:hAnsi="Times New Roman"/>
                                <w:sz w:val="20"/>
                                <w:szCs w:val="28"/>
                              </w:rPr>
                              <w:t>и</w:t>
                            </w:r>
                            <w:r w:rsidRPr="00821F06">
                              <w:rPr>
                                <w:rFonts w:ascii="Times New Roman" w:hAnsi="Times New Roman"/>
                                <w:sz w:val="20"/>
                                <w:szCs w:val="28"/>
                              </w:rPr>
                              <w:t xml:space="preserve"> воздействия на </w:t>
                            </w:r>
                            <w:r>
                              <w:rPr>
                                <w:rFonts w:ascii="Times New Roman" w:hAnsi="Times New Roman"/>
                                <w:sz w:val="20"/>
                                <w:szCs w:val="28"/>
                              </w:rPr>
                              <w:t>социально-экономическую привлекательность региона</w:t>
                            </w:r>
                          </w:p>
                          <w:p w:rsidR="005A0B95" w:rsidRPr="00821F06" w:rsidRDefault="005A0B95" w:rsidP="00FB5018">
                            <w:pPr>
                              <w:jc w:val="center"/>
                              <w:rPr>
                                <w:rFonts w:ascii="Times New Roman" w:hAnsi="Times New Roman"/>
                                <w:sz w:val="20"/>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47EA1" id="Скругленный прямоугольник 5" o:spid="_x0000_s1027" style="position:absolute;left:0;text-align:left;margin-left:0;margin-top:9.35pt;width:429pt;height:36pt;z-index:251749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iiwywIAAGsFAAAOAAAAZHJzL2Uyb0RvYy54bWysVM1uEzEQviPxDpbvdJM2gXbVTZU2KkKK&#10;2ooW9ex4vVkL/2E72ZQTEkeQeAaeASFBS8srbN6IsXfTpqUnxB5WHs94fr5vZnb3FlKgObOOa5Xh&#10;7kYHI6aozrmaZvjN2eGzbYycJyonQiuW4Qvm8N7g6ZPdyqRsU5da5MwicKJcWpkMl96bNEkcLZkk&#10;bkMbpkBZaCuJB9FOk9ySCrxLkWx2Os+TStvcWE2Zc3A7apR4EP0XBaP+uCgc80hkGHLz8W/jfxL+&#10;yWCXpFNLTMlpmwb5hywk4QqC3roaEU/QzPK/XElOrXa68BtUy0QXBacs1gDVdDsPqjktiWGxFgDH&#10;mVuY3P9zS4/mJxbxPMO9LYwUkcBR/bW+XH5Yfqy/1Vf19/q6vl5+qn+i+jdcfql/1TdRdVNfLT+D&#10;8kd9ifoBx8q4FNydmhMbkHBmrOlbB4rkniYIrrVZFFYGW8ABLSIpF7eksIVHFC77vd72Vge4o6Dr&#10;9V8A6yFaQtLVa2Odf8m0ROGQYatnKn8NzEdCyHzsfGO/sovZacHzQy5EFOx0ciAsmhPokv7+zv4o&#10;FgQh3LqZUKiCHt98EbMh0K2FIB4Skwbwc2qKERFTGAPqbYx977V7JEgMXpKctaE78LXFteax0Ht+&#10;QhUj4srmSVQ1XSy5h1ESXGZ4OzhaeRIqhGFxGFos7jgIJ7+YLGILdFc0TnR+AW1hdTMvztBDDmHH&#10;xPkTYmFAgA4Yen8Mv0JoQEW3J4xKbd8/dh/soW9Bi1EFAweIvZsRyzASrxR09E631wsTGoXIM0Z2&#10;XTNZ16iZPNDAVhfWi6HxCI+tF6tjYbU8h90wDFFBRRSF2A03rXDgm0UA24Wy4TCawVQa4sfq1NDg&#10;PCAXAD9bnBNr2gbz0JpHejWcJH3QYo1teKn0cOZ1wWP/BaQbXNuJgImO7LbbJ6yMdTla3e3IwR8A&#10;AAD//wMAUEsDBBQABgAIAAAAIQB9TpBT3AAAAAYBAAAPAAAAZHJzL2Rvd25yZXYueG1sTI/BbsIw&#10;EETvlfgHayv1VpyitrghDkK0qBeEROgHmHhJIuJ1FDsQ+vXdntrjzKxm3mbL0bXign1oPGl4miYg&#10;kEpvG6o0fB02jwpEiIasaT2hhhsGWOaTu8yk1l9pj5ciVoJLKKRGQx1jl0oZyhqdCVPfIXF28r0z&#10;kWVfSdubK5e7Vs6S5FU60xAv1KbDdY3luRicBle4+HGbqe1q+Px+P203YffcBa0f7sfVAkTEMf4d&#10;wy8+o0POTEc/kA2i1cCPRHbVHASn6kWxcdTwlsxB5pn8j5//AAAA//8DAFBLAQItABQABgAIAAAA&#10;IQC2gziS/gAAAOEBAAATAAAAAAAAAAAAAAAAAAAAAABbQ29udGVudF9UeXBlc10ueG1sUEsBAi0A&#10;FAAGAAgAAAAhADj9If/WAAAAlAEAAAsAAAAAAAAAAAAAAAAALwEAAF9yZWxzLy5yZWxzUEsBAi0A&#10;FAAGAAgAAAAhAK6KKLDLAgAAawUAAA4AAAAAAAAAAAAAAAAALgIAAGRycy9lMm9Eb2MueG1sUEsB&#10;Ai0AFAAGAAgAAAAhAH1OkFPcAAAABgEAAA8AAAAAAAAAAAAAAAAAJQUAAGRycy9kb3ducmV2Lnht&#10;bFBLBQYAAAAABAAEAPMAAAAuBgAAAAA=&#10;" fillcolor="#5b9bd5" strokecolor="#41719c" strokeweight="1pt">
                <v:stroke joinstyle="miter"/>
                <v:path arrowok="t"/>
                <v:textbox>
                  <w:txbxContent>
                    <w:p w:rsidR="005A0B95" w:rsidRPr="00821F06" w:rsidRDefault="005A0B95" w:rsidP="00FB5018">
                      <w:pPr>
                        <w:jc w:val="center"/>
                        <w:rPr>
                          <w:rFonts w:ascii="Times New Roman" w:hAnsi="Times New Roman"/>
                          <w:sz w:val="20"/>
                          <w:szCs w:val="28"/>
                        </w:rPr>
                      </w:pPr>
                      <w:r>
                        <w:rPr>
                          <w:rFonts w:ascii="Times New Roman" w:hAnsi="Times New Roman"/>
                          <w:sz w:val="20"/>
                          <w:szCs w:val="28"/>
                        </w:rPr>
                        <w:t xml:space="preserve">Этап2. </w:t>
                      </w:r>
                      <w:r w:rsidRPr="00821F06">
                        <w:rPr>
                          <w:rFonts w:ascii="Times New Roman" w:hAnsi="Times New Roman"/>
                          <w:sz w:val="20"/>
                          <w:szCs w:val="28"/>
                        </w:rPr>
                        <w:t xml:space="preserve">Группировка показателей по однородности их состава </w:t>
                      </w:r>
                      <w:r>
                        <w:rPr>
                          <w:rFonts w:ascii="Times New Roman" w:hAnsi="Times New Roman"/>
                          <w:sz w:val="20"/>
                          <w:szCs w:val="28"/>
                        </w:rPr>
                        <w:t>и</w:t>
                      </w:r>
                      <w:r w:rsidRPr="00821F06">
                        <w:rPr>
                          <w:rFonts w:ascii="Times New Roman" w:hAnsi="Times New Roman"/>
                          <w:sz w:val="20"/>
                          <w:szCs w:val="28"/>
                        </w:rPr>
                        <w:t xml:space="preserve"> воздействия на </w:t>
                      </w:r>
                      <w:r>
                        <w:rPr>
                          <w:rFonts w:ascii="Times New Roman" w:hAnsi="Times New Roman"/>
                          <w:sz w:val="20"/>
                          <w:szCs w:val="28"/>
                        </w:rPr>
                        <w:t>социально-экономическую привлекательность региона</w:t>
                      </w:r>
                    </w:p>
                    <w:p w:rsidR="005A0B95" w:rsidRPr="00821F06" w:rsidRDefault="005A0B95" w:rsidP="00FB5018">
                      <w:pPr>
                        <w:jc w:val="center"/>
                        <w:rPr>
                          <w:rFonts w:ascii="Times New Roman" w:hAnsi="Times New Roman"/>
                          <w:sz w:val="20"/>
                          <w:szCs w:val="28"/>
                        </w:rPr>
                      </w:pPr>
                    </w:p>
                  </w:txbxContent>
                </v:textbox>
                <w10:wrap anchorx="margin"/>
              </v:roundrect>
            </w:pict>
          </mc:Fallback>
        </mc:AlternateContent>
      </w:r>
    </w:p>
    <w:p w:rsidR="00FB5018" w:rsidRPr="00BA321C" w:rsidRDefault="00FB5018" w:rsidP="00BA321C">
      <w:pPr>
        <w:shd w:val="clear" w:color="auto" w:fill="FFFFFF" w:themeFill="background1"/>
        <w:spacing w:line="240" w:lineRule="auto"/>
        <w:ind w:firstLine="851"/>
        <w:jc w:val="both"/>
        <w:rPr>
          <w:rFonts w:ascii="Times New Roman" w:hAnsi="Times New Roman"/>
          <w:sz w:val="24"/>
          <w:szCs w:val="24"/>
        </w:rPr>
      </w:pP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79072" behindDoc="0" locked="0" layoutInCell="1" allowOverlap="1" wp14:anchorId="5AEFA27F" wp14:editId="3639C604">
                <wp:simplePos x="0" y="0"/>
                <wp:positionH relativeFrom="column">
                  <wp:posOffset>2958465</wp:posOffset>
                </wp:positionH>
                <wp:positionV relativeFrom="paragraph">
                  <wp:posOffset>22225</wp:posOffset>
                </wp:positionV>
                <wp:extent cx="9525" cy="238125"/>
                <wp:effectExtent l="38100" t="0" r="66675" b="47625"/>
                <wp:wrapNone/>
                <wp:docPr id="42"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2381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35E0927" id="Прямая со стрелкой 38" o:spid="_x0000_s1026" type="#_x0000_t32" style="position:absolute;margin-left:232.95pt;margin-top:1.75pt;width:.75pt;height:18.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Tt6FQIAAM4DAAAOAAAAZHJzL2Uyb0RvYy54bWysU0tu2zAQ3RfoHQjua/lTB45gOUDsppug&#10;NZD2AGOKkojyB5K17F3aC+QIvUI3WfSDnEG6UYeS7TTtrqgWg+F83vye5hc7JcmWOy+MzuhoMKSE&#10;a2ZyocuMvn939WJGiQ+gc5BG84zuuacXi+fP5rVN+dhURubcEQTRPq1tRqsQbJoknlVcgR8YyzU6&#10;C+MUBHy6Mskd1IiuZDIeDs+S2rjcOsO492hd9U666PCLgrPwtig8D0RmFHsLnXSd3ESZLOaQlg5s&#10;JdihDfiHLhQIjUVPUCsIQD468ReUEswZb4owYEYlpigE490MOM1o+Mc0NxVY3s2Cy/H2tCb//2DZ&#10;m+3aEZFn9OWYEg0Kb9R8aW/bu+Zn87W9I+2n5gFF+7m9be6bH8335qH5RiazuLna+hQBlnrt4uxs&#10;p2/stWEfPPqSJ8748LYP2xVOxXAcnuy6S+xPl+C7QBgaz6fjKSUMHePJbIR6RIT0mGqdD6+5USQq&#10;GfXBgSirsDRa48WNG3W3gO21D33iMSHW1eZKSIl2SKUmdUbPJlOkBgOkXyEhoKosLsTrkhKQJfKa&#10;BdcheiNFHrNjsnflZikd2QJya3p5frk6tvkkLJZega/6uM7Vs06JgNSXQmV0Noxfbw4g5Cudk7C3&#10;eIvgBOhS8sMCpI6VeUfsw3CPq43axuT7tTvuH0nT7e1A8MjK39/dlR5/w8UvAAAA//8DAFBLAwQU&#10;AAYACAAAACEAmZF53t8AAAAIAQAADwAAAGRycy9kb3ducmV2LnhtbEyPzU6EQBCE7ya+w6RNvGzc&#10;YZFlFRk2/sRsYryIeh+gBZTpQWZY4O1tT3qrTlWqvk73s+nEEQfXWlKwWQcgkEpbtVQreHt9vLgC&#10;4bymSneWUMGCDvbZ6Umqk8pO9ILH3NeCS8glWkHjfZ9I6coGjXZr2yOx92EHoz2fQy2rQU9cbjoZ&#10;BkEsjW6JFxrd432D5Vc+GgV2Nb6Hk1tW8ml3VzyH3w/5cvhU6vxsvr0B4XH2f2H4xWd0yJipsCNV&#10;TnQKonh7zVEFl1sQ7EfxLgJRsNgEILNU/n8g+wEAAP//AwBQSwECLQAUAAYACAAAACEAtoM4kv4A&#10;AADhAQAAEwAAAAAAAAAAAAAAAAAAAAAAW0NvbnRlbnRfVHlwZXNdLnhtbFBLAQItABQABgAIAAAA&#10;IQA4/SH/1gAAAJQBAAALAAAAAAAAAAAAAAAAAC8BAABfcmVscy8ucmVsc1BLAQItABQABgAIAAAA&#10;IQCcGTt6FQIAAM4DAAAOAAAAAAAAAAAAAAAAAC4CAABkcnMvZTJvRG9jLnhtbFBLAQItABQABgAI&#10;AAAAIQCZkXne3wAAAAgBAAAPAAAAAAAAAAAAAAAAAG8EAABkcnMvZG93bnJldi54bWxQSwUGAAAA&#10;AAQABADzAAAAewUAAAAA&#10;" strokecolor="#5b9bd5" strokeweight=".5pt">
                <v:stroke endarrow="block" joinstyle="miter"/>
                <o:lock v:ext="edit" shapetype="f"/>
              </v:shape>
            </w:pict>
          </mc:Fallback>
        </mc:AlternateContent>
      </w:r>
      <w:r w:rsidRPr="00BA321C">
        <w:rPr>
          <w:noProof/>
          <w:lang w:eastAsia="ru-RU"/>
        </w:rPr>
        <mc:AlternateContent>
          <mc:Choice Requires="wps">
            <w:drawing>
              <wp:anchor distT="0" distB="0" distL="114300" distR="114300" simplePos="0" relativeHeight="251762688" behindDoc="0" locked="0" layoutInCell="1" allowOverlap="1" wp14:anchorId="616E6629" wp14:editId="63522383">
                <wp:simplePos x="0" y="0"/>
                <wp:positionH relativeFrom="column">
                  <wp:posOffset>272415</wp:posOffset>
                </wp:positionH>
                <wp:positionV relativeFrom="paragraph">
                  <wp:posOffset>224790</wp:posOffset>
                </wp:positionV>
                <wp:extent cx="5381625" cy="666750"/>
                <wp:effectExtent l="0" t="0" r="28575" b="19050"/>
                <wp:wrapNone/>
                <wp:docPr id="41"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81625" cy="66675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D03FA0" w:rsidRDefault="005A0B95" w:rsidP="00FB5018">
                            <w:pPr>
                              <w:jc w:val="center"/>
                              <w:rPr>
                                <w:rFonts w:ascii="Times New Roman" w:hAnsi="Times New Roman"/>
                                <w:sz w:val="20"/>
                                <w:szCs w:val="28"/>
                              </w:rPr>
                            </w:pPr>
                            <w:r>
                              <w:rPr>
                                <w:rFonts w:ascii="Times New Roman" w:hAnsi="Times New Roman"/>
                                <w:sz w:val="20"/>
                                <w:szCs w:val="28"/>
                              </w:rPr>
                              <w:t xml:space="preserve">Этап3. </w:t>
                            </w:r>
                            <w:r w:rsidRPr="00D03FA0">
                              <w:rPr>
                                <w:rFonts w:ascii="Times New Roman" w:hAnsi="Times New Roman"/>
                                <w:sz w:val="20"/>
                                <w:szCs w:val="28"/>
                              </w:rPr>
                              <w:t xml:space="preserve">Определение сводных значений сгруппированных показателей – субиндексов, определяющих значение интегрального показателя </w:t>
                            </w:r>
                            <w:r>
                              <w:rPr>
                                <w:rFonts w:ascii="Times New Roman" w:hAnsi="Times New Roman"/>
                                <w:sz w:val="20"/>
                                <w:szCs w:val="28"/>
                              </w:rPr>
                              <w:t>социально-экономической привлекательности региона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E6629" id="Скругленный прямоугольник 19" o:spid="_x0000_s1028" style="position:absolute;left:0;text-align:left;margin-left:21.45pt;margin-top:17.7pt;width:423.75pt;height:5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AazwIAAGwFAAAOAAAAZHJzL2Uyb0RvYy54bWysVM1uEzEQviPxDpbvdJOQpOmqmyptVIQU&#10;tRUt6tnxerMr/Ift/JQTEkeQeAaeASFBS8srbN6IsXe3TX9OiD2sPJ7x/HzzzezurQRHC2ZsoWSC&#10;21stjJikKi3kLMFvzw5fDDCyjsiUcCVZgi+YxXvD5892lzpmHZUrnjKDwIm08VInOHdOx1Fkac4E&#10;sVtKMwnKTBlBHIhmFqWGLMG74FGn1epHS2VSbRRl1sLtuFLiYfCfZYy64yyzzCGeYMjNhb8J/6n/&#10;R8NdEs8M0XlB6zTIP2QhSCEh6K2rMXEEzU3xyJUoqFFWZW6LKhGpLCsoCzVANe3Wg2pOc6JZqAXA&#10;sfoWJvv/3NKjxYlBRZrgbhsjSQT0qPxWXq4/rj+V38ur8kd5XV6vP5e/UPkHLr+Wv8uboLopr9Zf&#10;QPmzvETtHQ/kUtsY/J3qE+OhsHqi6DsLiuiexgu2tlllRnhbAAKtQlcubrvCVg5RuOy9HLT7nR5G&#10;FHT9fn+7F9oWkbh5rY11r5gSyB8SbNRcpm+g9aEjZDGxzidB4sYuZKd4kR4WnAfBzKYH3KAFAZr0&#10;9nf2xz1fEDyxm2ZcoiWQvLPdAipRAnTNOHFwFBoAtHKGEeEzmAPqTIh977V9IkgInpOU1aFb8DWR&#10;K/PHWfgqxsTm1ZMQoqKxKBzMEi9EggfeUeOJSx+GhWmosbjrgT+51XQVONBp2jhV6QXwwqhqYKym&#10;hwWEnRDrToiBCQEAYOrdMfwyrgAVVZ8wypX58NS9twfighajJUwcIPZ+TgzDiL+WQOmddrfrRzQI&#10;3d52BwSzqZluauRcHCjoFrAWsgtHb+94c8yMEuewHEY+KqiIpBC76k0tHLhqE8B6oWw0CmYwlpq4&#10;iTzV1Dv3yHnAz1bnxOiaYA6oeaSa6STxA4pVtv6lVKO5U1kR+OeRrnCtJwJGOnS3Xj9+Z2zKwepu&#10;SQ7/AgAA//8DAFBLAwQUAAYACAAAACEAzbDn6N4AAAAJAQAADwAAAGRycy9kb3ducmV2LnhtbEyP&#10;wU7DMBBE70j9B2srcaMOIaA0jVNVLRWXConQD3DjbRIRr6PYaVO+nuUEt1nN0+xMvp5sJy44+NaR&#10;gsdFBAKpcqalWsHxc/+QgvBBk9GdI1RwQw/rYnaX68y4K33gpQy14BDymVbQhNBnUvqqQav9wvVI&#10;7J3dYHXgc6ilGfSVw20n4yh6kVa3xB8a3eO2weqrHK0CW9rweovTw2Z8+96dD3v/nvReqfv5tFmB&#10;CDiFPxh+63N1KLjTyY1kvOgUJPGSSQVPzwkI9tNlxOLEYMJCFrn8v6D4AQAA//8DAFBLAQItABQA&#10;BgAIAAAAIQC2gziS/gAAAOEBAAATAAAAAAAAAAAAAAAAAAAAAABbQ29udGVudF9UeXBlc10ueG1s&#10;UEsBAi0AFAAGAAgAAAAhADj9If/WAAAAlAEAAAsAAAAAAAAAAAAAAAAALwEAAF9yZWxzLy5yZWxz&#10;UEsBAi0AFAAGAAgAAAAhAGwHwBrPAgAAbAUAAA4AAAAAAAAAAAAAAAAALgIAAGRycy9lMm9Eb2Mu&#10;eG1sUEsBAi0AFAAGAAgAAAAhAM2w5+jeAAAACQEAAA8AAAAAAAAAAAAAAAAAKQUAAGRycy9kb3du&#10;cmV2LnhtbFBLBQYAAAAABAAEAPMAAAA0BgAAAAA=&#10;" fillcolor="#5b9bd5" strokecolor="#41719c" strokeweight="1pt">
                <v:stroke joinstyle="miter"/>
                <v:path arrowok="t"/>
                <v:textbox>
                  <w:txbxContent>
                    <w:p w:rsidR="005A0B95" w:rsidRPr="00D03FA0" w:rsidRDefault="005A0B95" w:rsidP="00FB5018">
                      <w:pPr>
                        <w:jc w:val="center"/>
                        <w:rPr>
                          <w:rFonts w:ascii="Times New Roman" w:hAnsi="Times New Roman"/>
                          <w:sz w:val="20"/>
                          <w:szCs w:val="28"/>
                        </w:rPr>
                      </w:pPr>
                      <w:r>
                        <w:rPr>
                          <w:rFonts w:ascii="Times New Roman" w:hAnsi="Times New Roman"/>
                          <w:sz w:val="20"/>
                          <w:szCs w:val="28"/>
                        </w:rPr>
                        <w:t xml:space="preserve">Этап3. </w:t>
                      </w:r>
                      <w:r w:rsidRPr="00D03FA0">
                        <w:rPr>
                          <w:rFonts w:ascii="Times New Roman" w:hAnsi="Times New Roman"/>
                          <w:sz w:val="20"/>
                          <w:szCs w:val="28"/>
                        </w:rPr>
                        <w:t xml:space="preserve">Определение сводных значений сгруппированных показателей – субиндексов, определяющих значение интегрального показателя </w:t>
                      </w:r>
                      <w:r>
                        <w:rPr>
                          <w:rFonts w:ascii="Times New Roman" w:hAnsi="Times New Roman"/>
                          <w:sz w:val="20"/>
                          <w:szCs w:val="28"/>
                        </w:rPr>
                        <w:t>социально-экономической привлекательности региона</w:t>
                      </w:r>
                    </w:p>
                  </w:txbxContent>
                </v:textbox>
              </v:roundrect>
            </w:pict>
          </mc:Fallback>
        </mc:AlternateContent>
      </w:r>
    </w:p>
    <w:p w:rsidR="00FB5018" w:rsidRPr="00BA321C" w:rsidRDefault="00FB5018" w:rsidP="00BA321C">
      <w:pPr>
        <w:shd w:val="clear" w:color="auto" w:fill="FFFFFF" w:themeFill="background1"/>
        <w:spacing w:line="240" w:lineRule="auto"/>
        <w:ind w:firstLine="851"/>
        <w:jc w:val="both"/>
        <w:rPr>
          <w:rFonts w:ascii="Times New Roman" w:hAnsi="Times New Roman"/>
          <w:sz w:val="24"/>
          <w:szCs w:val="24"/>
        </w:rPr>
      </w:pPr>
    </w:p>
    <w:p w:rsidR="00FB5018" w:rsidRPr="00BA321C" w:rsidRDefault="00FB5018" w:rsidP="00BA321C">
      <w:pPr>
        <w:shd w:val="clear" w:color="auto" w:fill="FFFFFF" w:themeFill="background1"/>
        <w:spacing w:line="240" w:lineRule="auto"/>
        <w:ind w:firstLine="851"/>
        <w:jc w:val="both"/>
        <w:rPr>
          <w:rFonts w:ascii="Times New Roman" w:hAnsi="Times New Roman"/>
          <w:sz w:val="24"/>
          <w:szCs w:val="24"/>
        </w:rPr>
      </w:pP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299" distR="114299" simplePos="0" relativeHeight="251774976" behindDoc="0" locked="0" layoutInCell="1" allowOverlap="1" wp14:anchorId="612932A7" wp14:editId="04891740">
                <wp:simplePos x="0" y="0"/>
                <wp:positionH relativeFrom="column">
                  <wp:posOffset>2987039</wp:posOffset>
                </wp:positionH>
                <wp:positionV relativeFrom="paragraph">
                  <wp:posOffset>19685</wp:posOffset>
                </wp:positionV>
                <wp:extent cx="0" cy="209550"/>
                <wp:effectExtent l="76200" t="0" r="57150" b="57150"/>
                <wp:wrapNone/>
                <wp:docPr id="40"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7F12C95" id="Прямая со стрелкой 34" o:spid="_x0000_s1026" type="#_x0000_t32" style="position:absolute;margin-left:235.2pt;margin-top:1.55pt;width:0;height:16.5pt;z-index:251774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ntFAIAAMsDAAAOAAAAZHJzL2Uyb0RvYy54bWysU0tu2zAQ3RfoHQjua9lOHCSC5QCxm26C&#10;1kDaA4wpSiLKH0jWsndpL5Aj9ArddNEPcgb5Rh1Stpu0u6JaDMiZ4ZuZN0/Ty42SZM2dF0YXdDQY&#10;UsI1M6XQdUHfvb1+cU6JD6BLkEbzgm65p5ez58+mrc352DRGltwRBNE+b21BmxBsnmWeNVyBHxjL&#10;NQYr4xQEvLo6Kx20iK5kNh4Oz7LWuNI6w7j36F30QTpL+FXFWXhTVZ4HIguKvYVkXbKraLPZFPLa&#10;gW0E27cB/9CFAqGx6BFqAQHIByf+glKCOeNNFQbMqMxUlWA8zYDTjIZ/THPbgOVpFiTH2yNN/v/B&#10;stfrpSOiLOgp0qNB4Y66z7u73X33s/uyuye7j90Dmt2n3V33tfvRfe8eum/k5DQy11qfI8BcL12c&#10;nW30rb0x7L3HWPYkGC/e9mmbyqmYjsOTTdrE9rgJvgmE9U6G3vHwYjJJS8ogP7yzzodX3CgSDwX1&#10;wYGomzA3WuO6jRulRcD6xofYB+SHB7GoNtdCyrR1qUlb0LMTLEAYoPYqCQGPyiIbXteUgKxR1Cy4&#10;hOiNFGV8HXG8q1dz6cgaUFiTq4urxSQygtWepMXSC/BNn5dCveSUCKh7KVRBz4fx690BhHypSxK2&#10;FhcRnABdS75HljpW5knV++F+8xpPK1Nul+5APiomNbRXd5Tk4zueH/+Ds18AAAD//wMAUEsDBBQA&#10;BgAIAAAAIQABJFkq3AAAAAgBAAAPAAAAZHJzL2Rvd25yZXYueG1sTI9NT4QwEIbvJv6HZky8bNwC&#10;bnYNUjZ+xJiYvYh6L3QElE6RlgX+vWM86PHJ++adZ7L9bDtxxMG3jhTE6wgEUuVMS7WC15eHiysQ&#10;PmgyunOEChb0sM9PTzKdGjfRMx6LUAseIZ9qBU0IfSqlrxq02q9dj8TZuxusDoxDLc2gJx63nUyi&#10;aCutbokvNLrHuwarz2K0CtxqfEsmv6zk0+62PCRf98Xy+KHU+dl8cw0i4Bz+yvCjz+qQs1PpRjJe&#10;dAo2u2jDVQWXMQjOf7lk3sYg80z+fyD/BgAA//8DAFBLAQItABQABgAIAAAAIQC2gziS/gAAAOEB&#10;AAATAAAAAAAAAAAAAAAAAAAAAABbQ29udGVudF9UeXBlc10ueG1sUEsBAi0AFAAGAAgAAAAhADj9&#10;If/WAAAAlAEAAAsAAAAAAAAAAAAAAAAALwEAAF9yZWxzLy5yZWxzUEsBAi0AFAAGAAgAAAAhAHT+&#10;Oe0UAgAAywMAAA4AAAAAAAAAAAAAAAAALgIAAGRycy9lMm9Eb2MueG1sUEsBAi0AFAAGAAgAAAAh&#10;AAEkWSrcAAAACAEAAA8AAAAAAAAAAAAAAAAAbgQAAGRycy9kb3ducmV2LnhtbFBLBQYAAAAABAAE&#10;APMAAAB3BQAAAAA=&#10;" strokecolor="#5b9bd5" strokeweight=".5pt">
                <v:stroke endarrow="block" joinstyle="miter"/>
                <o:lock v:ext="edit" shapetype="f"/>
              </v:shape>
            </w:pict>
          </mc:Fallback>
        </mc:AlternateContent>
      </w:r>
      <w:r w:rsidRPr="00BA321C">
        <w:rPr>
          <w:noProof/>
          <w:lang w:eastAsia="ru-RU"/>
        </w:rPr>
        <mc:AlternateContent>
          <mc:Choice Requires="wps">
            <w:drawing>
              <wp:anchor distT="0" distB="0" distL="114300" distR="114300" simplePos="0" relativeHeight="251767808" behindDoc="0" locked="0" layoutInCell="1" allowOverlap="1" wp14:anchorId="1A4D98EA" wp14:editId="2DF0185C">
                <wp:simplePos x="0" y="0"/>
                <wp:positionH relativeFrom="column">
                  <wp:posOffset>281940</wp:posOffset>
                </wp:positionH>
                <wp:positionV relativeFrom="paragraph">
                  <wp:posOffset>267335</wp:posOffset>
                </wp:positionV>
                <wp:extent cx="5353050" cy="447675"/>
                <wp:effectExtent l="0" t="0" r="19050" b="28575"/>
                <wp:wrapNone/>
                <wp:docPr id="39" name="Скругленный 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0" cy="44767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 xml:space="preserve">Этап4. </w:t>
                            </w:r>
                            <w:r w:rsidRPr="001D6519">
                              <w:rPr>
                                <w:rFonts w:ascii="Times New Roman" w:hAnsi="Times New Roman"/>
                                <w:sz w:val="20"/>
                                <w:szCs w:val="28"/>
                              </w:rPr>
                              <w:t>Выбор, обоснование и апробация методологии определения весовых коэффициентов субиндексов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A4D98EA" id="Скругленный прямоугольник 25" o:spid="_x0000_s1029" style="position:absolute;left:0;text-align:left;margin-left:22.2pt;margin-top:21.05pt;width:421.5pt;height:35.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6OTzwIAAGwFAAAOAAAAZHJzL2Uyb0RvYy54bWysVM1uEzEQviPxDpbvdJM0adpVN1XaqAgp&#10;aiNa1LPj9WZX+A/b+SknJI4g8Qw8A0KClpZX2LwRY+9um5aeEHtYzXjGM+Nv5pv9g5XgaMGMLZRM&#10;cHurhRGTVKWFnCX4zfnxi12MrCMyJVxJluBLZvHB4Pmz/aWOWUfliqfMIAgibbzUCc6d03EUWZoz&#10;QeyW0kyCMVNGEAeqmUWpIUuILnjUabV2oqUyqTaKMmvhdFQZ8SDEzzJG3WmWWeYQTzDU5sLfhP/U&#10;/6PBPolnhui8oHUZ5B+qEKSQkPQu1Ig4guam+CuUKKhRVmVuiyoRqSwrKAtvgNe0W49ec5YTzcJb&#10;AByr72Cy/y8sPVlMDCrSBG/vYSSJgB6VX8ur9Yf1x/JbeV1+L2/Km/Wn8icqf8Phl/JXeRtMt+X1&#10;+jMYf5RXqNPzQC61jSHemZ4YD4XVY0XfWjBEDyxesbXPKjPC+wIQaBW6cnnXFbZyiMJhb7u33epB&#10;8yjYut3+Tj9ki0jc3NbGupdMCeSFBBs1l+lraH3oCFmMrfNFkLjxC9UpXqTHBedBMbPpETdoQWBM&#10;eod7h6Mmhd104xItYcg7/ZavhsC4Zpw4EIUGAK2cYUT4DHhAnQm5H9y2TyQJyXOSsjp1Cz4PJRRb&#10;u1fyZhX+FSNi8+pKSFGNsSgccIkXIsG7PlATiUufhgU21Fjc98BLbjVdVTPQtHGq0kuYC6MqwlhN&#10;jwtIOybWTYgBhgAAwHp3Cr+MK0BF1RJGuTLvnzr3/jC4YMVoCYwDxN7NiWEY8VcSRnqv3e16igal&#10;2+t3QDGblummRc7FkYJutWG/aBpE7+94I2ZGiQtYDkOfFUxEUshd9aZWjly1CWC9UDYcBjegpSZu&#10;LM809cE9ch7w89UFMboeMAejeaIadpL40YhVvv6mVMO5U1kR5s8jXeFaMwIoHbpbrx+/Mzb14HW/&#10;JAd/AAAA//8DAFBLAwQUAAYACAAAACEAgajyWN4AAAAJAQAADwAAAGRycy9kb3ducmV2LnhtbEyP&#10;QWuDQBCF74X+h2UKuTWrIqlY1xDahlxCoKY/YONOVOrOirsmpr++k1N7Gmbe4833ivVse3HB0XeO&#10;FMTLCARS7UxHjYKv4/Y5A+GDJqN7R6jghh7W5eNDoXPjrvSJlyo0gkPI51pBG8KQS+nrFq32Szcg&#10;sXZ2o9WB17GRZtRXDre9TKJoJa3uiD+0esC3FuvvarIKbGXDxy3J9ptp9/N+3m/9IR28UounefMK&#10;IuAc/sxwx2d0KJnp5CYyXvQK0jRlJ88kBsF6lr3w4cTGOFmBLAv5v0H5CwAA//8DAFBLAQItABQA&#10;BgAIAAAAIQC2gziS/gAAAOEBAAATAAAAAAAAAAAAAAAAAAAAAABbQ29udGVudF9UeXBlc10ueG1s&#10;UEsBAi0AFAAGAAgAAAAhADj9If/WAAAAlAEAAAsAAAAAAAAAAAAAAAAALwEAAF9yZWxzLy5yZWxz&#10;UEsBAi0AFAAGAAgAAAAhACvPo5PPAgAAbAUAAA4AAAAAAAAAAAAAAAAALgIAAGRycy9lMm9Eb2Mu&#10;eG1sUEsBAi0AFAAGAAgAAAAhAIGo8ljeAAAACQEAAA8AAAAAAAAAAAAAAAAAKQUAAGRycy9kb3du&#10;cmV2LnhtbFBLBQYAAAAABAAEAPMAAAA0BgAAAAA=&#10;" fillcolor="#5b9bd5" strokecolor="#41719c" strokeweight="1pt">
                <v:stroke joinstyle="miter"/>
                <v:path arrowok="t"/>
                <v:textbo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 xml:space="preserve">Этап4. </w:t>
                      </w:r>
                      <w:r w:rsidRPr="001D6519">
                        <w:rPr>
                          <w:rFonts w:ascii="Times New Roman" w:hAnsi="Times New Roman"/>
                          <w:sz w:val="20"/>
                          <w:szCs w:val="28"/>
                        </w:rPr>
                        <w:t>Выбор, обоснование и апробация методологии определения весовых коэффициентов субиндексов</w:t>
                      </w:r>
                    </w:p>
                  </w:txbxContent>
                </v:textbox>
              </v:roundrect>
            </w:pict>
          </mc:Fallback>
        </mc:AlternateContent>
      </w:r>
    </w:p>
    <w:p w:rsidR="00FB5018" w:rsidRPr="00BA321C" w:rsidRDefault="00FB5018" w:rsidP="00BA321C">
      <w:pPr>
        <w:shd w:val="clear" w:color="auto" w:fill="FFFFFF" w:themeFill="background1"/>
        <w:spacing w:line="240" w:lineRule="auto"/>
        <w:ind w:firstLine="851"/>
        <w:jc w:val="both"/>
        <w:rPr>
          <w:rFonts w:ascii="Times New Roman" w:hAnsi="Times New Roman"/>
          <w:sz w:val="24"/>
          <w:szCs w:val="24"/>
        </w:rPr>
      </w:pP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76000" behindDoc="0" locked="0" layoutInCell="1" allowOverlap="1" wp14:anchorId="6EE3429B" wp14:editId="1F7F3590">
                <wp:simplePos x="0" y="0"/>
                <wp:positionH relativeFrom="column">
                  <wp:posOffset>2958465</wp:posOffset>
                </wp:positionH>
                <wp:positionV relativeFrom="paragraph">
                  <wp:posOffset>171450</wp:posOffset>
                </wp:positionV>
                <wp:extent cx="9525" cy="123825"/>
                <wp:effectExtent l="76200" t="0" r="66675" b="47625"/>
                <wp:wrapNone/>
                <wp:docPr id="24"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238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65F4FD" id="Прямая со стрелкой 35" o:spid="_x0000_s1026" type="#_x0000_t32" style="position:absolute;margin-left:232.95pt;margin-top:13.5pt;width:.75pt;height:9.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lzQFQIAAM4DAAAOAAAAZHJzL2Uyb0RvYy54bWysU0tu2zAQ3RfoHQjua/lTB45gOUDsppug&#10;NZD2AGOKkojyB5K17F3aC+QIvUI3WfSDnEG6UYeS7TTtrqgWg+F83vye5hc7JcmWOy+MzuhoMKSE&#10;a2ZyocuMvn939WJGiQ+gc5BG84zuuacXi+fP5rVN+dhURubcEQTRPq1tRqsQbJoknlVcgR8YyzU6&#10;C+MUBHy6Mskd1IiuZDIeDs+S2rjcOsO492hd9U666PCLgrPwtig8D0RmFHsLnXSd3ESZLOaQlg5s&#10;JdihDfiHLhQIjUVPUCsIQD468ReUEswZb4owYEYlpigE490MOM1o+Mc0NxVY3s2Cy/H2tCb//2DZ&#10;m+3aEZFndPySEg0Kb9R8aW/bu+Zn87W9I+2n5gFF+7m9be6bH8335qH5RibTuLna+hQBlnrt4uxs&#10;p2/stWEfPPqSJ8748LYP2xVOxXAcnuy6S+xPl+C7QBgaz6fjKSUMHaPxZIZ6RIT0mGqdD6+5USQq&#10;GfXBgSirsDRa48WNG3W3gO21D33iMSHW1eZKSIl2SKUmdUbPJlOkBgOkXyEhoKosLsTrkhKQJfKa&#10;BdcheiNFHrNjsnflZikd2QJya3p5frk6tvkkLJZega/6uM7Vs06JgNSXQmV0Noxfbw4g5Cudk7C3&#10;eIvgBOhS8sMCpI6VeUfsw3CPq43axuT7tTvuH0nT7e1A8MjK39/dlR5/w8UvAAAA//8DAFBLAwQU&#10;AAYACAAAACEAG8bVP90AAAAJAQAADwAAAGRycy9kb3ducmV2LnhtbEyPy06EQBBF9yb+Q6dM3Eyc&#10;RoKgSDPxEWMycSPqvoESULoa6WaAv7d0o8vKPbl1brZbTC8OOLrOkoLzbQACqbJ1R42C15eHs0sQ&#10;zmuqdW8JFazoYJcfH2U6re1Mz3gofCO4hFyqFbTeD6mUrmrRaLe1AxJn73Y02vM5NrIe9czlppdh&#10;EMTS6I74Q6sHvGux+iwmo8BuprdwdutG7pPb8in8ui/Wxw+lTk+Wm2sQHhf/B8OPPqtDzk6lnah2&#10;olcQxRdXjCoIE97EQBQnEYjyNwGZZ/L/gvwbAAD//wMAUEsBAi0AFAAGAAgAAAAhALaDOJL+AAAA&#10;4QEAABMAAAAAAAAAAAAAAAAAAAAAAFtDb250ZW50X1R5cGVzXS54bWxQSwECLQAUAAYACAAAACEA&#10;OP0h/9YAAACUAQAACwAAAAAAAAAAAAAAAAAvAQAAX3JlbHMvLnJlbHNQSwECLQAUAAYACAAAACEA&#10;EKJc0BUCAADOAwAADgAAAAAAAAAAAAAAAAAuAgAAZHJzL2Uyb0RvYy54bWxQSwECLQAUAAYACAAA&#10;ACEAG8bVP90AAAAJAQAADwAAAAAAAAAAAAAAAABvBAAAZHJzL2Rvd25yZXYueG1sUEsFBgAAAAAE&#10;AAQA8wAAAHkFAAAAAA==&#10;" strokecolor="#5b9bd5" strokeweight=".5pt">
                <v:stroke endarrow="block" joinstyle="miter"/>
                <o:lock v:ext="edit" shapetype="f"/>
              </v:shape>
            </w:pict>
          </mc:Fallback>
        </mc:AlternateConten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68832" behindDoc="0" locked="0" layoutInCell="1" allowOverlap="1" wp14:anchorId="6E369586" wp14:editId="3F132912">
                <wp:simplePos x="0" y="0"/>
                <wp:positionH relativeFrom="column">
                  <wp:posOffset>272415</wp:posOffset>
                </wp:positionH>
                <wp:positionV relativeFrom="paragraph">
                  <wp:posOffset>23495</wp:posOffset>
                </wp:positionV>
                <wp:extent cx="5381625" cy="457200"/>
                <wp:effectExtent l="0" t="0" r="28575" b="19050"/>
                <wp:wrapNone/>
                <wp:docPr id="23" name="Скругленный 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81625" cy="45720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 xml:space="preserve">Этап5. </w:t>
                            </w:r>
                            <w:r w:rsidRPr="001D6519">
                              <w:rPr>
                                <w:rFonts w:ascii="Times New Roman" w:hAnsi="Times New Roman"/>
                                <w:sz w:val="20"/>
                                <w:szCs w:val="28"/>
                              </w:rPr>
                              <w:t xml:space="preserve">Расчет значений </w:t>
                            </w:r>
                            <w:r>
                              <w:rPr>
                                <w:rFonts w:ascii="Times New Roman" w:hAnsi="Times New Roman"/>
                                <w:sz w:val="20"/>
                                <w:szCs w:val="28"/>
                              </w:rPr>
                              <w:t>интегрального показателя социально-экономической привлекательности региона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E369586" id="Скругленный прямоугольник 26" o:spid="_x0000_s1030" style="position:absolute;left:0;text-align:left;margin-left:21.45pt;margin-top:1.85pt;width:423.75pt;height:3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MvzAIAAGwFAAAOAAAAZHJzL2Uyb0RvYy54bWysVN1u0zAUvkfiHSzfs7Rdu59o6dStGkKq&#10;tokN7dp1nCbCf9huk3GFxCVIPAPPgJBgY+MV0jfi2Em3buwKkYvIx9/58fnOz95+JThaMGMLJRPc&#10;3ehgxCRVaSFnCX5zfvRiByPriEwJV5Il+JJZvD98/myv1DHrqVzxlBkETqSNS53g3DkdR5GlORPE&#10;bijNJICZMoI4EM0sSg0pwbvgUa/T2YpKZVJtFGXWwu24AfEw+M8yRt1JllnmEE8wvM2Fvwn/qf9H&#10;wz0SzwzReUHbZ5B/eIUghYSgd67GxBE0N8VfrkRBjbIqcxtUiUhlWUFZyAGy6XYeZXOWE81CLkCO&#10;1Xc02f/nlh4vTg0q0gT3NjGSRECN6q/11fLD8mP9rb6uv9c39c3yU/0T1b/h8kv9q74N0G19vfwM&#10;4I/6CvW2PJGltjH4O9OnxlNh9UTRtxaA6AHiBdvqVJkRXheIQFWoyuVdVVjlEIXLweZOd6s3wIgC&#10;1h9sQ9l9tIjEK2ttrHvJlED+kGCj5jJ9DaUPFSGLiXWN/kovvE7xIj0qOA+CmU0PuUELAm0yONg9&#10;GA/aEHZdjUtUQpP3tuEFiBJo14wTB0ehgUArZxgRPoM5oM6E2A+s7RNBQvCcpKwN3YFvFblRD4k+&#10;8OOzGBObNyYB8iYkFoWDWeKFSPCOd7TyxKVHWZiGlov7GviTq6ZV6IG+d+Rvpiq9hL4wqhkYq+lR&#10;AWEnxLpTYmBCgACYencCv4wrYEW1J4xyZd4/de/1oXEBxaiEiQPG3s2JYRjxVxJaerfb7/sRDUKo&#10;M0ZmHZmuI3IuDhVUqwv7RdNwBGPj+OqYGSUuYDmMfFSAiKQQu6lNKxy6ZhPAeqFsNApqMJaauIk8&#10;09Q798x5ws+rC2J022AOWvNYraaTxI9arNH1llKN5k5lRei/e17biYCRDtVt14/fGety0LpfksM/&#10;AAAA//8DAFBLAwQUAAYACAAAACEA6J0C3t0AAAAHAQAADwAAAGRycy9kb3ducmV2LnhtbEyOwU6D&#10;QBRF9yb+w+SZuLODiEKRR9OoTTeNiegHTJlXIDJvCDO01K93utLlzb059xSr2fTiSKPrLCPcLyIQ&#10;xLXVHTcIX5+buwyE84q16i0TwpkcrMrrq0Ll2p74g46Vb0SAsMsVQuv9kEvp6paMcgs7EIfuYEej&#10;fIhjI/WoTgFuehlH0ZM0quPw0KqBXlqqv6vJIJjK+LdznO3W0/bn9bDbuPdkcIi3N/P6GYSn2f+N&#10;4aIf1KEMTns7sXaiR0jiZVgiPKQgQp0towTEHiF9TEGWhfzvX/4CAAD//wMAUEsBAi0AFAAGAAgA&#10;AAAhALaDOJL+AAAA4QEAABMAAAAAAAAAAAAAAAAAAAAAAFtDb250ZW50X1R5cGVzXS54bWxQSwEC&#10;LQAUAAYACAAAACEAOP0h/9YAAACUAQAACwAAAAAAAAAAAAAAAAAvAQAAX3JlbHMvLnJlbHNQSwEC&#10;LQAUAAYACAAAACEA6AajL8wCAABsBQAADgAAAAAAAAAAAAAAAAAuAgAAZHJzL2Uyb0RvYy54bWxQ&#10;SwECLQAUAAYACAAAACEA6J0C3t0AAAAHAQAADwAAAAAAAAAAAAAAAAAmBQAAZHJzL2Rvd25yZXYu&#10;eG1sUEsFBgAAAAAEAAQA8wAAADAGAAAAAA==&#10;" fillcolor="#5b9bd5" strokecolor="#41719c" strokeweight="1pt">
                <v:stroke joinstyle="miter"/>
                <v:path arrowok="t"/>
                <v:textbo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 xml:space="preserve">Этап5. </w:t>
                      </w:r>
                      <w:r w:rsidRPr="001D6519">
                        <w:rPr>
                          <w:rFonts w:ascii="Times New Roman" w:hAnsi="Times New Roman"/>
                          <w:sz w:val="20"/>
                          <w:szCs w:val="28"/>
                        </w:rPr>
                        <w:t xml:space="preserve">Расчет значений </w:t>
                      </w:r>
                      <w:r>
                        <w:rPr>
                          <w:rFonts w:ascii="Times New Roman" w:hAnsi="Times New Roman"/>
                          <w:sz w:val="20"/>
                          <w:szCs w:val="28"/>
                        </w:rPr>
                        <w:t>интегрального показателя социально-экономической привлекательности региона</w:t>
                      </w:r>
                    </w:p>
                  </w:txbxContent>
                </v:textbox>
              </v:roundrect>
            </w:pict>
          </mc:Fallback>
        </mc:AlternateConten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77024" behindDoc="0" locked="0" layoutInCell="1" allowOverlap="1" wp14:anchorId="5D1B66E3" wp14:editId="7F46FA03">
                <wp:simplePos x="0" y="0"/>
                <wp:positionH relativeFrom="column">
                  <wp:posOffset>2939415</wp:posOffset>
                </wp:positionH>
                <wp:positionV relativeFrom="paragraph">
                  <wp:posOffset>237490</wp:posOffset>
                </wp:positionV>
                <wp:extent cx="38100" cy="161925"/>
                <wp:effectExtent l="38100" t="0" r="57150" b="47625"/>
                <wp:wrapNone/>
                <wp:docPr id="17"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 cy="161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95EAF8C" id="Прямая со стрелкой 36" o:spid="_x0000_s1026" type="#_x0000_t32" style="position:absolute;margin-left:231.45pt;margin-top:18.7pt;width:3pt;height:12.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GIFgIAAM8DAAAOAAAAZHJzL2Uyb0RvYy54bWysU0tu2zAQ3RfoHQjua0k27DqC5QCxm26C&#10;NkDaA9AUJRHlDyRr2bu0F8gReoVusugHOYN0ow4p22naXVEtBuQM583nPS3Od1KgLbOOa1XgbJRi&#10;xBTVJVd1gd+/u3wxx8h5okoitGIF3jOHz5fPny1ak7OxbrQomUUAolzemgI33ps8SRxtmCRupA1T&#10;EKy0lcTD1dZJaUkL6FIk4zSdJa22pbGaMufAux6CeBnxq4pR/7aqHPNIFBh689HaaDfBJssFyWtL&#10;TMPpoQ3yD11IwhUUPUGtiSfoo+V/QUlOrXa68iOqZaKrilMWZ4BpsvSPaW4aYlicBZbjzGlN7v/B&#10;0jfba4t4Cdy9xEgRCRx1X/rb/q772X3t71D/qXsA03/ub7v77kf3vXvovqHJLGyuNS4HgJW6tmF2&#10;ulM35krTDw5iyZNguDgzPNtVVobnMDzaRSb2JybYziMKzsk8S4EuCpFslp2Np6FcQvJjrrHOv2Za&#10;onAosPOW8LrxK60UUK5tFskg2yvnh8RjQiis9CUXAvwkFwq1BZ5NpqEYAf1Vgng4SgMbcarGiIga&#10;hE29jYhOC16G7JDsbL1ZCYu2BMQ1vTi7WB/bfPIslF4T1wzvYmiQneQetC+4LPA8Dd/g9oSLV6pE&#10;fm+ADG85UbVghwUIFSqzqOzDcI+7DaeNLvfX9kgAqCbu7aDwIMvf75Gmx/9w+QsAAP//AwBQSwME&#10;FAAGAAgAAAAhAH7xBNjeAAAACQEAAA8AAABkcnMvZG93bnJldi54bWxMj01Pg0AQhu8m/ofNmHhp&#10;7CISWpGh8SPGxHiR1vsCK6DsLLJLgX/v9KTHmffJO8+ku9l04qgH11pCuF4HIDSVtmqpRjjsn6+2&#10;IJxXVKnOkkZYtINddn6WqqSyE73rY+5rwSXkEoXQeN8nUrqy0Ua5te01cfZpB6M8j0Mtq0FNXG46&#10;GQZBLI1qiS80qtePjS6/89Eg2NX4EU5uWcnXzUPxFv485cvLF+LlxXx/B8Lr2f/BcNJndcjYqbAj&#10;VU50CFEc3jKKcLOJQDAQxVteFAinQGap/P9B9gsAAP//AwBQSwECLQAUAAYACAAAACEAtoM4kv4A&#10;AADhAQAAEwAAAAAAAAAAAAAAAAAAAAAAW0NvbnRlbnRfVHlwZXNdLnhtbFBLAQItABQABgAIAAAA&#10;IQA4/SH/1gAAAJQBAAALAAAAAAAAAAAAAAAAAC8BAABfcmVscy8ucmVsc1BLAQItABQABgAIAAAA&#10;IQCljOGIFgIAAM8DAAAOAAAAAAAAAAAAAAAAAC4CAABkcnMvZTJvRG9jLnhtbFBLAQItABQABgAI&#10;AAAAIQB+8QTY3gAAAAkBAAAPAAAAAAAAAAAAAAAAAHAEAABkcnMvZG93bnJldi54bWxQSwUGAAAA&#10;AAQABADzAAAAewUAAAAA&#10;" strokecolor="#5b9bd5" strokeweight=".5pt">
                <v:stroke endarrow="block" joinstyle="miter"/>
                <o:lock v:ext="edit" shapetype="f"/>
              </v:shape>
            </w:pict>
          </mc:Fallback>
        </mc:AlternateContent>
      </w:r>
    </w:p>
    <w:p w:rsidR="00FB5018" w:rsidRPr="00BA321C" w:rsidRDefault="00F02869" w:rsidP="00BA321C">
      <w:pPr>
        <w:shd w:val="clear" w:color="auto" w:fill="FFFFFF" w:themeFill="background1"/>
        <w:spacing w:line="240" w:lineRule="auto"/>
        <w:ind w:firstLine="851"/>
        <w:jc w:val="both"/>
        <w:rPr>
          <w:rFonts w:ascii="Times New Roman" w:hAnsi="Times New Roman"/>
          <w:sz w:val="24"/>
          <w:szCs w:val="24"/>
        </w:rPr>
      </w:pPr>
      <w:r w:rsidRPr="00BA321C">
        <w:rPr>
          <w:noProof/>
          <w:lang w:eastAsia="ru-RU"/>
        </w:rPr>
        <mc:AlternateContent>
          <mc:Choice Requires="wps">
            <w:drawing>
              <wp:anchor distT="0" distB="0" distL="114300" distR="114300" simplePos="0" relativeHeight="251770880" behindDoc="0" locked="0" layoutInCell="1" allowOverlap="1" wp14:anchorId="60F24657" wp14:editId="49815E2F">
                <wp:simplePos x="0" y="0"/>
                <wp:positionH relativeFrom="column">
                  <wp:posOffset>262890</wp:posOffset>
                </wp:positionH>
                <wp:positionV relativeFrom="paragraph">
                  <wp:posOffset>99695</wp:posOffset>
                </wp:positionV>
                <wp:extent cx="5372100" cy="762000"/>
                <wp:effectExtent l="0" t="0" r="19050" b="19050"/>
                <wp:wrapNone/>
                <wp:docPr id="16" name="Скругленный 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0" cy="76200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Этап6. Разработка системы регрессионных уравнений, оценивающих «вклад» индекса СЭП  (и его отдельных составляющих) на динамику ВРП – как интегрального показателя, характеризующего качество и эффективность развития производительных сил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0F24657" id="Скругленный прямоугольник 27" o:spid="_x0000_s1031" style="position:absolute;left:0;text-align:left;margin-left:20.7pt;margin-top:7.85pt;width:423pt;height:60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0eyQIAAGwFAAAOAAAAZHJzL2Uyb0RvYy54bWysVM1uEzEQviPxDpbvdJPQNO2qSZU2KkKK&#10;2ooW9TzxerMr/Ift/JQTEkeQeAaeASFBS8srbN6IsbNp058T4mJ5POP5+b6Z2d2bS0Gm3LpSqy5t&#10;bjQo4YrprFTjLn17dvhimxLnQWUgtOJdesEd3es9f7Y7Mylv6UKLjFuCTpRLZ6ZLC+9NmiSOFVyC&#10;29CGK1Tm2krwKNpxklmYoXcpklajsZXMtM2M1Yw7h6+DpZL2ov8858wf57njnoguxdx8PG08R+FM&#10;eruQji2YomR1GvAPWUgoFQa9dTUAD2Riy0euZMmsdjr3G0zLROd5yXisAatpNh5Uc1qA4bEWBMeZ&#10;W5jc/3PLjqYnlpQZcrdFiQKJHFXfqsvFx8Wn6nt1Vf2orqvrxefqF6n+4OPX6nd1E1U31dXiCyp/&#10;Vpek1QlAzoxL0d+pObEBCmeGmr1zqEjuaYLgapt5bmWwRSDIPLJyccsKn3vC8LH9stNqNpA8hrrO&#10;FrIeaUsgXf021vlXXEsSLl1q9URlb5D6yAhMh86HJCBd2cXstCizw1KIKNjx6EBYMgVsk/b+zv6g&#10;HQrCL27dTCgyQ6BanZgNYLvmAjwmJg0C6NSYEhBjnAPmbYx977d7IkgMXkDG69BY26q42vxxFqGK&#10;Abhi+SWGWLaxLD3Okihll24HRytPQoUwPE5DjcUdB+Hm56N57IFYdXgZ6ewC+8Lq5cA4ww5LDDsE&#10;50/A4oQgHTj1/hiPXGhERdc3SgptPzz1HuyxcVFLyQwnDhF7PwHLKRGvFbb0TnNzM4xoFDbbnRYK&#10;dl0zWteoiTzQyFYT94th8RrsvVhdc6vlOS6HfoiKKlAMYy+5qYUDv9wEuF4Y7/ejGY6lAT9Up4YF&#10;5wG5APjZ/BysqRvMY2se6dV0QvqgxZa24afS/YnXeRn77w7XeiJwpCO79foJO2NdjlZ3S7L3FwAA&#10;//8DAFBLAwQUAAYACAAAACEACdxI3N0AAAAJAQAADwAAAGRycy9kb3ducmV2LnhtbEyPwW7CMBBE&#10;75X4B2uReisONC1RiIMQFPWCkJr2A0y8JBHxOoodCP36bk/tcd+MZmey9WhbccXeN44UzGcRCKTS&#10;mYYqBV+f+6cEhA+ajG4doYI7eljnk4dMp8bd6AOvRagEh5BPtYI6hC6V0pc1Wu1nrkNi7ex6qwOf&#10;fSVNr28cblu5iKJXaXVD/KHWHW5rLC/FYBXYwoa3+yI5bIb37935sPfHuPNKPU7HzQpEwDH8meG3&#10;PleHnDud3EDGi1ZBPI/ZyfxlCYL1JFkyODF4ZiLzTP5fkP8AAAD//wMAUEsBAi0AFAAGAAgAAAAh&#10;ALaDOJL+AAAA4QEAABMAAAAAAAAAAAAAAAAAAAAAAFtDb250ZW50X1R5cGVzXS54bWxQSwECLQAU&#10;AAYACAAAACEAOP0h/9YAAACUAQAACwAAAAAAAAAAAAAAAAAvAQAAX3JlbHMvLnJlbHNQSwECLQAU&#10;AAYACAAAACEARrktHskCAABsBQAADgAAAAAAAAAAAAAAAAAuAgAAZHJzL2Uyb0RvYy54bWxQSwEC&#10;LQAUAAYACAAAACEACdxI3N0AAAAJAQAADwAAAAAAAAAAAAAAAAAjBQAAZHJzL2Rvd25yZXYueG1s&#10;UEsFBgAAAAAEAAQA8wAAAC0GAAAAAA==&#10;" fillcolor="#5b9bd5" strokecolor="#41719c" strokeweight="1pt">
                <v:stroke joinstyle="miter"/>
                <v:path arrowok="t"/>
                <v:textbox>
                  <w:txbxContent>
                    <w:p w:rsidR="005A0B95" w:rsidRPr="001D6519" w:rsidRDefault="005A0B95" w:rsidP="00FB5018">
                      <w:pPr>
                        <w:jc w:val="center"/>
                        <w:rPr>
                          <w:rFonts w:ascii="Times New Roman" w:hAnsi="Times New Roman"/>
                          <w:sz w:val="20"/>
                          <w:szCs w:val="28"/>
                        </w:rPr>
                      </w:pPr>
                      <w:r>
                        <w:rPr>
                          <w:rFonts w:ascii="Times New Roman" w:hAnsi="Times New Roman"/>
                          <w:sz w:val="20"/>
                          <w:szCs w:val="28"/>
                        </w:rPr>
                        <w:t>Этап6. Разработка системы регрессионных уравнений, оценивающих «вклад» индекса СЭП  (и его отдельных составляющих) на динамику ВРП – как интегрального показателя, характеризующего качество и эффективность развития производительных сил</w:t>
                      </w:r>
                    </w:p>
                  </w:txbxContent>
                </v:textbox>
              </v:roundrect>
            </w:pict>
          </mc:Fallback>
        </mc:AlternateContent>
      </w:r>
    </w:p>
    <w:p w:rsidR="00234BD7" w:rsidRPr="00BA321C" w:rsidRDefault="00234BD7" w:rsidP="00BA321C">
      <w:pPr>
        <w:shd w:val="clear" w:color="auto" w:fill="FFFFFF" w:themeFill="background1"/>
        <w:spacing w:after="0" w:line="360" w:lineRule="auto"/>
        <w:jc w:val="center"/>
        <w:rPr>
          <w:rFonts w:ascii="Times New Roman" w:hAnsi="Times New Roman"/>
          <w:sz w:val="28"/>
          <w:szCs w:val="28"/>
        </w:rPr>
      </w:pPr>
    </w:p>
    <w:p w:rsidR="00234BD7" w:rsidRPr="00BA321C" w:rsidRDefault="00234BD7" w:rsidP="00BA321C">
      <w:pPr>
        <w:shd w:val="clear" w:color="auto" w:fill="FFFFFF" w:themeFill="background1"/>
        <w:spacing w:after="0" w:line="360" w:lineRule="auto"/>
        <w:jc w:val="center"/>
        <w:rPr>
          <w:rFonts w:ascii="Times New Roman" w:hAnsi="Times New Roman"/>
          <w:sz w:val="28"/>
          <w:szCs w:val="28"/>
        </w:rPr>
      </w:pPr>
    </w:p>
    <w:p w:rsidR="00BD3D69" w:rsidRPr="00BA321C" w:rsidRDefault="00FB5018" w:rsidP="005A0B95">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Рисунок </w:t>
      </w:r>
      <w:r w:rsidR="00701BDC" w:rsidRPr="00BA321C">
        <w:rPr>
          <w:rFonts w:ascii="Times New Roman" w:hAnsi="Times New Roman"/>
          <w:sz w:val="28"/>
          <w:szCs w:val="28"/>
        </w:rPr>
        <w:t>2.2.1</w:t>
      </w:r>
      <w:r w:rsidRPr="00BA321C">
        <w:rPr>
          <w:rFonts w:ascii="Times New Roman" w:hAnsi="Times New Roman"/>
          <w:sz w:val="28"/>
          <w:szCs w:val="28"/>
        </w:rPr>
        <w:t xml:space="preserve"> - Структурно-логическая схема моделирования </w:t>
      </w:r>
      <w:r w:rsidR="00BE7124" w:rsidRPr="00BA321C">
        <w:rPr>
          <w:rFonts w:ascii="Times New Roman" w:hAnsi="Times New Roman"/>
          <w:sz w:val="28"/>
          <w:szCs w:val="28"/>
        </w:rPr>
        <w:t>интегрального индекса социально-экономической привлекательности региона</w:t>
      </w:r>
    </w:p>
    <w:p w:rsidR="00FB5018" w:rsidRPr="00BA321C" w:rsidRDefault="00BD3D69" w:rsidP="005A0B95">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(индекса СЭП)</w:t>
      </w:r>
    </w:p>
    <w:p w:rsidR="005A0B95" w:rsidRDefault="005A0B95" w:rsidP="005A0B95">
      <w:pPr>
        <w:shd w:val="clear" w:color="auto" w:fill="FFFFFF" w:themeFill="background1"/>
        <w:spacing w:after="0" w:line="360" w:lineRule="auto"/>
        <w:ind w:firstLine="851"/>
        <w:jc w:val="both"/>
        <w:rPr>
          <w:rFonts w:ascii="Times New Roman" w:hAnsi="Times New Roman"/>
          <w:sz w:val="28"/>
          <w:szCs w:val="28"/>
        </w:rPr>
      </w:pPr>
    </w:p>
    <w:p w:rsidR="00CA03F4" w:rsidRPr="00BA321C" w:rsidRDefault="00FB5018" w:rsidP="005A0B95">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При определении и обосновании выбора совокупности факторов мы исходили</w:t>
      </w:r>
      <w:r w:rsidR="00CA03F4" w:rsidRPr="00BA321C">
        <w:rPr>
          <w:rFonts w:ascii="Times New Roman" w:hAnsi="Times New Roman"/>
          <w:sz w:val="28"/>
          <w:szCs w:val="28"/>
        </w:rPr>
        <w:t xml:space="preserve"> из ранее выдвинутых предложений относительно применения </w:t>
      </w:r>
      <w:r w:rsidR="00CA03F4" w:rsidRPr="00BA321C">
        <w:rPr>
          <w:rFonts w:ascii="Times New Roman" w:hAnsi="Times New Roman"/>
          <w:sz w:val="28"/>
          <w:szCs w:val="28"/>
        </w:rPr>
        <w:lastRenderedPageBreak/>
        <w:t>системного подхода, который бы учитывал при оценке перспектив развития региональных производительных сил не только параметры экономического потенциала, но и социального и институционального</w:t>
      </w:r>
      <w:r w:rsidR="00E243BB" w:rsidRPr="00BA321C">
        <w:rPr>
          <w:rFonts w:ascii="Times New Roman" w:hAnsi="Times New Roman"/>
          <w:sz w:val="28"/>
          <w:szCs w:val="28"/>
        </w:rPr>
        <w:t xml:space="preserve">. </w:t>
      </w:r>
    </w:p>
    <w:p w:rsidR="00FB5018" w:rsidRPr="00BA321C" w:rsidRDefault="00FB501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Включение в модель </w:t>
      </w:r>
      <w:r w:rsidR="00E243BB" w:rsidRPr="00BA321C">
        <w:rPr>
          <w:rFonts w:ascii="Times New Roman" w:hAnsi="Times New Roman"/>
          <w:sz w:val="28"/>
          <w:szCs w:val="28"/>
        </w:rPr>
        <w:t>оценки социально-экономической привлекательности региона</w:t>
      </w:r>
      <w:r w:rsidRPr="00BA321C">
        <w:rPr>
          <w:rFonts w:ascii="Times New Roman" w:hAnsi="Times New Roman"/>
          <w:sz w:val="28"/>
          <w:szCs w:val="28"/>
        </w:rPr>
        <w:t xml:space="preserve"> факторов, относящихся к группе социально ориентированных обусловлено тем, что с точки зрения долгосрочных ожиданий они в значительной степени определяют вектор социальной уверенности или наоборот не уверенности и, соответственно, перспективы устойчивого развития </w:t>
      </w:r>
      <w:r w:rsidR="009E3984" w:rsidRPr="00BA321C">
        <w:rPr>
          <w:rFonts w:ascii="Times New Roman" w:hAnsi="Times New Roman"/>
          <w:sz w:val="28"/>
          <w:szCs w:val="28"/>
        </w:rPr>
        <w:t>элементов производственной системы</w:t>
      </w:r>
      <w:r w:rsidRPr="00BA321C">
        <w:rPr>
          <w:rFonts w:ascii="Times New Roman" w:hAnsi="Times New Roman"/>
          <w:sz w:val="28"/>
          <w:szCs w:val="28"/>
        </w:rPr>
        <w:t xml:space="preserve"> в целом, предопределяющей, в конечном итоге перспективы и скорость </w:t>
      </w:r>
      <w:r w:rsidR="009E3984" w:rsidRPr="00BA321C">
        <w:rPr>
          <w:rFonts w:ascii="Times New Roman" w:hAnsi="Times New Roman"/>
          <w:sz w:val="28"/>
          <w:szCs w:val="28"/>
        </w:rPr>
        <w:t>технологических</w:t>
      </w:r>
      <w:r w:rsidRPr="00BA321C">
        <w:rPr>
          <w:rFonts w:ascii="Times New Roman" w:hAnsi="Times New Roman"/>
          <w:sz w:val="28"/>
          <w:szCs w:val="28"/>
        </w:rPr>
        <w:t xml:space="preserve"> сдвигов. Вместе с тем </w:t>
      </w:r>
      <w:r w:rsidR="00BD34A7" w:rsidRPr="00BA321C">
        <w:rPr>
          <w:rFonts w:ascii="Times New Roman" w:hAnsi="Times New Roman"/>
          <w:sz w:val="28"/>
          <w:szCs w:val="28"/>
        </w:rPr>
        <w:t xml:space="preserve">инновационно-модернизационное развитие производительных сил </w:t>
      </w:r>
      <w:r w:rsidRPr="00BA321C">
        <w:rPr>
          <w:rFonts w:ascii="Times New Roman" w:hAnsi="Times New Roman"/>
          <w:sz w:val="28"/>
          <w:szCs w:val="28"/>
        </w:rPr>
        <w:t>сложно обосновать без учета имеющих место корректировок в институциональном развитии. Как справедливо отмечено в монографии «Институты развития региональных экономических систем» под редакцией Ю. В. Матвеева и Г. В. Семенова [12] институциональные факторы во многом определяют процесс формирования так называемых «ментальных моделей». Последние выступают в качестве «ядра» когнитивных сетей, моделей в восприятии и интерпретации действительности, что в конечном итоге отражается на конкретном типе доминирующей организационной культуры территории (в том числе на национальной модели менеджмента, моделях организационно</w:t>
      </w:r>
      <w:r w:rsidR="00C5167F" w:rsidRPr="00BA321C">
        <w:rPr>
          <w:rFonts w:ascii="Times New Roman" w:hAnsi="Times New Roman"/>
          <w:sz w:val="28"/>
          <w:szCs w:val="28"/>
        </w:rPr>
        <w:t xml:space="preserve"> – экономического управления, </w:t>
      </w:r>
      <w:r w:rsidRPr="00BA321C">
        <w:rPr>
          <w:rFonts w:ascii="Times New Roman" w:hAnsi="Times New Roman"/>
          <w:sz w:val="28"/>
          <w:szCs w:val="28"/>
        </w:rPr>
        <w:t>воспроизводимых предпринимательских структурах, экономической культуре</w:t>
      </w:r>
      <w:r w:rsidR="00E243BB" w:rsidRPr="00BA321C">
        <w:rPr>
          <w:rFonts w:ascii="Times New Roman" w:hAnsi="Times New Roman"/>
          <w:sz w:val="28"/>
          <w:szCs w:val="28"/>
        </w:rPr>
        <w:t xml:space="preserve"> и, наконец, развитии производительных сил</w:t>
      </w:r>
      <w:r w:rsidRPr="00BA321C">
        <w:rPr>
          <w:rFonts w:ascii="Times New Roman" w:hAnsi="Times New Roman"/>
          <w:sz w:val="28"/>
          <w:szCs w:val="28"/>
        </w:rPr>
        <w:t xml:space="preserve">). </w:t>
      </w:r>
    </w:p>
    <w:p w:rsidR="00FB5018" w:rsidRPr="00BA321C" w:rsidRDefault="00FB501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Исходя из представленных рассуждений и допущений</w:t>
      </w:r>
      <w:r w:rsidR="00E02C41" w:rsidRPr="00BA321C">
        <w:rPr>
          <w:rFonts w:ascii="Times New Roman" w:hAnsi="Times New Roman"/>
          <w:sz w:val="28"/>
          <w:szCs w:val="28"/>
        </w:rPr>
        <w:t xml:space="preserve">, в концентрированном виде выраженных на рисунке 1.3.1, </w:t>
      </w:r>
      <w:r w:rsidRPr="00BA321C">
        <w:rPr>
          <w:rFonts w:ascii="Times New Roman" w:hAnsi="Times New Roman"/>
          <w:sz w:val="28"/>
          <w:szCs w:val="28"/>
        </w:rPr>
        <w:t xml:space="preserve">совокупность факторов, оказывающих </w:t>
      </w:r>
      <w:r w:rsidR="00435A07" w:rsidRPr="00BA321C">
        <w:rPr>
          <w:rFonts w:ascii="Times New Roman" w:hAnsi="Times New Roman"/>
          <w:sz w:val="28"/>
          <w:szCs w:val="28"/>
        </w:rPr>
        <w:t>влияние</w:t>
      </w:r>
      <w:r w:rsidRPr="00BA321C">
        <w:rPr>
          <w:rFonts w:ascii="Times New Roman" w:hAnsi="Times New Roman"/>
          <w:sz w:val="28"/>
          <w:szCs w:val="28"/>
        </w:rPr>
        <w:t xml:space="preserve"> на </w:t>
      </w:r>
      <w:r w:rsidR="00E243BB" w:rsidRPr="00BA321C">
        <w:rPr>
          <w:rFonts w:ascii="Times New Roman" w:hAnsi="Times New Roman"/>
          <w:sz w:val="28"/>
          <w:szCs w:val="28"/>
        </w:rPr>
        <w:t>индекс СЭП</w:t>
      </w:r>
      <w:r w:rsidRPr="00BA321C">
        <w:rPr>
          <w:rFonts w:ascii="Times New Roman" w:hAnsi="Times New Roman"/>
          <w:sz w:val="28"/>
          <w:szCs w:val="28"/>
        </w:rPr>
        <w:t xml:space="preserve"> </w:t>
      </w:r>
      <w:r w:rsidR="00435A07" w:rsidRPr="00BA321C">
        <w:rPr>
          <w:rFonts w:ascii="Times New Roman" w:hAnsi="Times New Roman"/>
          <w:sz w:val="28"/>
          <w:szCs w:val="28"/>
        </w:rPr>
        <w:t xml:space="preserve">по направлениям воздействия представлена на рисунке </w:t>
      </w:r>
      <w:r w:rsidR="00701BDC" w:rsidRPr="00BA321C">
        <w:rPr>
          <w:rFonts w:ascii="Times New Roman" w:hAnsi="Times New Roman"/>
          <w:sz w:val="28"/>
          <w:szCs w:val="28"/>
        </w:rPr>
        <w:t>2.2.2.</w:t>
      </w:r>
      <w:r w:rsidR="00BD3D69" w:rsidRPr="00BA321C">
        <w:rPr>
          <w:rFonts w:ascii="Times New Roman" w:hAnsi="Times New Roman"/>
          <w:sz w:val="28"/>
          <w:szCs w:val="28"/>
        </w:rPr>
        <w:t xml:space="preserve"> При этом следует заметить, что представленный набор факторов, участвующих в моделировании социально-экономической привлекательности региона с точки зрения размещения и развития на его территории производительных сил, не является эталонным. </w:t>
      </w:r>
      <w:r w:rsidR="00BD3D69" w:rsidRPr="00BA321C">
        <w:rPr>
          <w:rFonts w:ascii="Times New Roman" w:hAnsi="Times New Roman"/>
          <w:sz w:val="28"/>
          <w:szCs w:val="28"/>
        </w:rPr>
        <w:lastRenderedPageBreak/>
        <w:t xml:space="preserve">Несмотря на то, что использующиеся подходы при его формировании, основывались на концепциях и взглядах, представляющих различные научные направления в региональной экономике (неоклассические модели, теории кумулятивного роста, теории полюсов, современная отечественная школа изучения организации и развития региональной экономики). </w:t>
      </w:r>
      <w:r w:rsidR="00320F99" w:rsidRPr="00BA321C">
        <w:rPr>
          <w:rFonts w:ascii="Times New Roman" w:hAnsi="Times New Roman"/>
          <w:sz w:val="28"/>
          <w:szCs w:val="28"/>
        </w:rPr>
        <w:t xml:space="preserve">Главной задачей, поставленной в рамках решения вопросов определения индекса СЭП в контексте изучаемого объекта исследования, являлось апробация экономико-математического инструментария, направленного на верификацию </w:t>
      </w:r>
      <w:r w:rsidR="005A0B95" w:rsidRPr="00BA321C">
        <w:rPr>
          <w:rFonts w:ascii="Times New Roman" w:hAnsi="Times New Roman"/>
          <w:noProof/>
          <w:sz w:val="24"/>
          <w:szCs w:val="24"/>
          <w:lang w:eastAsia="ru-RU"/>
        </w:rPr>
        <mc:AlternateContent>
          <mc:Choice Requires="wps">
            <w:drawing>
              <wp:anchor distT="0" distB="0" distL="114300" distR="114300" simplePos="0" relativeHeight="251778559" behindDoc="0" locked="0" layoutInCell="1" allowOverlap="1" wp14:anchorId="218F0505" wp14:editId="06C05EE5">
                <wp:simplePos x="0" y="0"/>
                <wp:positionH relativeFrom="margin">
                  <wp:align>right</wp:align>
                </wp:positionH>
                <wp:positionV relativeFrom="paragraph">
                  <wp:posOffset>2366010</wp:posOffset>
                </wp:positionV>
                <wp:extent cx="5943600" cy="3114675"/>
                <wp:effectExtent l="0" t="0" r="19050" b="28575"/>
                <wp:wrapNone/>
                <wp:docPr id="15"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114675"/>
                        </a:xfrm>
                        <a:prstGeom prst="roundRect">
                          <a:avLst>
                            <a:gd name="adj" fmla="val 16667"/>
                          </a:avLst>
                        </a:prstGeom>
                        <a:solidFill>
                          <a:srgbClr val="FFFFFF"/>
                        </a:solidFill>
                        <a:ln w="9525" cap="flat">
                          <a:solidFill>
                            <a:srgbClr val="538135"/>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DA315F" id="AutoShape 297" o:spid="_x0000_s1026" style="position:absolute;margin-left:416.8pt;margin-top:186.3pt;width:468pt;height:245.25pt;z-index:2517785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8yRgIAAIcEAAAOAAAAZHJzL2Uyb0RvYy54bWysVNtuEzEQfUfiHyy/083m1mbVTVW1FCEV&#10;qCh8wMT2Zg1e24ydbMrXM/YmIYE3RB6smZ3xmTlzPLm+2XWGbRUG7WzNy4sRZ8oKJ7Vd1/zrl4c3&#10;V5yFCFaCcVbV/EUFfrN8/eq695Uau9YZqZARiA1V72vexuirogiiVR2EC+eVpWDjsINILq4LidAT&#10;emeK8Wg0L3qH0qMTKgT6ej8E+TLjN40S8VPTBBWZqTn1FvOJ+Vyls1heQ7VG8K0W+zbgH7roQFsq&#10;eoS6hwhsg/ovqE4LdME18UK4rnBNo4XKHIhNOfqDzXMLXmUuNJzgj2MK/w9WfNw+IdOStJtxZqEj&#10;jW430eXSbLy4TBPqfago8dk/YeIY/KMT3wOz7q4Fu1a3iK5vFUjqq0z5xdmF5AS6ylb9BycJHwg/&#10;D2vXYJcAaQxslzV5OWqidpEJ+jhbTCfzEUknKDYpy+n8cpZrQHW47jHEd8p1LBk1R7ex8jMpn2vA&#10;9jHErIzc0wP5jbOmM6TzFgwr5/N5ZllAtU8m64CZ+Tqj5YM2Jju4Xt0ZZHS15g/5t28nnKYZy/qa&#10;L2ZjmqoAetiNgaGhs7RwijabXJWTA7mztNTNPYR2qCrJSjWhylSzlcb/1spsR9BmsImIsXs9kgSD&#10;lCsnX0gOdMM20PaS0Tr8yVlPm1Dz8GMDqDgz7y1Juiin07Q62ZnOLsfk4GlkdRoBKwiq5pGzwbyL&#10;w7ptPOp1S5XKrIt16Zk1Oh7ey9DVvll67WSdrdOpn7N+/38sfwEAAP//AwBQSwMEFAAGAAgAAAAh&#10;AN8bB4vdAAAACAEAAA8AAABkcnMvZG93bnJldi54bWxMj8FOwzAQRO9I/IO1SFwQddpIoYRsKgTi&#10;ggoSgQ/YJiaJaq+j2EnTv2c5wXF2VjNvit3irJrNGHrPCOtVAspw7ZueW4Svz5fbLagQiRuyng3C&#10;2QTYlZcXBeWNP/GHmavYKgnhkBNCF+OQax3qzjgKKz8YFu/bj46iyLHVzUgnCXdWb5Ik0456loaO&#10;BvPUmfpYTQ6hen4/v1rSwdu3myP5aZ/Meo94fbU8PoCKZol/z/CLL+hQCtPBT9wEZRFkSERI7zYZ&#10;KLHv00wuB4Rtlq5Bl4X+P6D8AQAA//8DAFBLAQItABQABgAIAAAAIQC2gziS/gAAAOEBAAATAAAA&#10;AAAAAAAAAAAAAAAAAABbQ29udGVudF9UeXBlc10ueG1sUEsBAi0AFAAGAAgAAAAhADj9If/WAAAA&#10;lAEAAAsAAAAAAAAAAAAAAAAALwEAAF9yZWxzLy5yZWxzUEsBAi0AFAAGAAgAAAAhAEOm/zJGAgAA&#10;hwQAAA4AAAAAAAAAAAAAAAAALgIAAGRycy9lMm9Eb2MueG1sUEsBAi0AFAAGAAgAAAAhAN8bB4vd&#10;AAAACAEAAA8AAAAAAAAAAAAAAAAAoAQAAGRycy9kb3ducmV2LnhtbFBLBQYAAAAABAAEAPMAAACq&#10;BQAAAAA=&#10;" strokecolor="#538135">
                <v:stroke dashstyle="dash"/>
                <w10:wrap anchorx="margin"/>
              </v:roundrect>
            </w:pict>
          </mc:Fallback>
        </mc:AlternateContent>
      </w:r>
      <w:r w:rsidR="00320F99" w:rsidRPr="00BA321C">
        <w:rPr>
          <w:rFonts w:ascii="Times New Roman" w:hAnsi="Times New Roman"/>
          <w:sz w:val="28"/>
          <w:szCs w:val="28"/>
        </w:rPr>
        <w:t xml:space="preserve">разработанной концепции. </w:t>
      </w:r>
    </w:p>
    <w:p w:rsidR="008A0E5D" w:rsidRPr="00BA321C" w:rsidRDefault="005A0B95" w:rsidP="00BA321C">
      <w:pPr>
        <w:shd w:val="clear" w:color="auto" w:fill="FFFFFF" w:themeFill="background1"/>
        <w:spacing w:after="0" w:line="240" w:lineRule="auto"/>
        <w:ind w:firstLine="851"/>
        <w:jc w:val="both"/>
        <w:rPr>
          <w:rFonts w:ascii="Times New Roman" w:hAnsi="Times New Roman"/>
          <w:sz w:val="24"/>
          <w:szCs w:val="24"/>
        </w:rPr>
      </w:pPr>
      <w:r w:rsidRPr="00BA321C">
        <w:rPr>
          <w:rFonts w:ascii="Times New Roman" w:hAnsi="Times New Roman"/>
          <w:noProof/>
          <w:sz w:val="24"/>
          <w:szCs w:val="24"/>
          <w:lang w:eastAsia="ru-RU"/>
        </w:rPr>
        <mc:AlternateContent>
          <mc:Choice Requires="wps">
            <w:drawing>
              <wp:anchor distT="0" distB="0" distL="114300" distR="114300" simplePos="0" relativeHeight="251784192" behindDoc="0" locked="0" layoutInCell="1" allowOverlap="1" wp14:anchorId="2B4DEA19" wp14:editId="671A844A">
                <wp:simplePos x="0" y="0"/>
                <wp:positionH relativeFrom="margin">
                  <wp:align>center</wp:align>
                </wp:positionH>
                <wp:positionV relativeFrom="paragraph">
                  <wp:posOffset>15240</wp:posOffset>
                </wp:positionV>
                <wp:extent cx="3467100" cy="247650"/>
                <wp:effectExtent l="0" t="0" r="19050" b="19050"/>
                <wp:wrapNone/>
                <wp:docPr id="14"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247650"/>
                        </a:xfrm>
                        <a:prstGeom prst="rect">
                          <a:avLst/>
                        </a:prstGeom>
                        <a:solidFill>
                          <a:srgbClr val="FFFFFF"/>
                        </a:solidFill>
                        <a:ln w="9525">
                          <a:solidFill>
                            <a:srgbClr val="FFFFFF"/>
                          </a:solidFill>
                          <a:miter lim="800000"/>
                          <a:headEnd/>
                          <a:tailEnd/>
                        </a:ln>
                      </wps:spPr>
                      <wps:txbx>
                        <w:txbxContent>
                          <w:p w:rsidR="005A0B95" w:rsidRPr="002C14EE" w:rsidRDefault="005A0B95" w:rsidP="008A0E5D">
                            <w:pPr>
                              <w:jc w:val="center"/>
                              <w:rPr>
                                <w:b/>
                                <w:sz w:val="24"/>
                              </w:rPr>
                            </w:pPr>
                            <w:r w:rsidRPr="002C14EE">
                              <w:rPr>
                                <w:b/>
                                <w:sz w:val="24"/>
                              </w:rPr>
                              <w:t>ЭКОНОМИЧЕСКИЙ ПОТЕНЦИАЛ СЭП</w:t>
                            </w:r>
                            <w:r>
                              <w:rPr>
                                <w:b/>
                                <w:sz w:val="24"/>
                              </w:rPr>
                              <w:t xml:space="preserve">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4DEA19" id="_x0000_t202" coordsize="21600,21600" o:spt="202" path="m,l,21600r21600,l21600,xe">
                <v:stroke joinstyle="miter"/>
                <v:path gradientshapeok="t" o:connecttype="rect"/>
              </v:shapetype>
              <v:shape id="Text Box 298" o:spid="_x0000_s1032" type="#_x0000_t202" style="position:absolute;left:0;text-align:left;margin-left:0;margin-top:1.2pt;width:273pt;height:19.5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VnKQIAAFoEAAAOAAAAZHJzL2Uyb0RvYy54bWysVNuO2yAQfa/Uf0C8N3bcXK04q222qSpt&#10;L9JuPwBjbKNihgKJnX59B5yk0fZtVT8ghhkOM+fMeHM3dIochXUSdEGnk5QSoTlUUjcF/fG8f7ei&#10;xHmmK6ZAi4KehKN327dvNr3JRQYtqEpYgiDa5b0paOu9yZPE8VZ0zE3ACI3OGmzHPJq2SSrLekTv&#10;VJKl6SLpwVbGAhfO4enD6KTbiF/Xgvtvde2EJ6qgmJuPq41rGdZku2F5Y5lpJT+nwV6RRcekxkev&#10;UA/MM3Kw8h+oTnILDmo/4dAlUNeSi1gDVjNNX1Tz1DIjYi1IjjNXmtz/g+Vfj98tkRVqN6NEsw41&#10;ehaDJx9gINl6FQjqjcsx7slgpB/QgcGxWGcegf90RMOuZboR99ZC3wpWYYLTcDO5uTriuABS9l+g&#10;wofYwUMEGmrbBfaQD4LoKNTpKk5IhuPh+9liOU3RxdGXzZaLeVQvYfnltrHOfxLQkbApqEXxIzo7&#10;PjofsmH5JSQ85kDJai+VioZtyp2y5MiwUfbxiwW8CFOa9AVdz7P5SMArIDrpseOV7Aq6SsM39mCg&#10;7aOuYj96JtW4x5SVPvMYqBtJ9EM5RM0WF3lKqE5IrIWxwXEgcdOC/U1Jj81dUPfrwKygRH3WKM56&#10;OpuFaYjGbL7M0LC3nvLWwzRHqIJ6Ssbtzo8TdDBWNi2+NLaDhnsUtJaR66D8mNU5fWzgKMF52MKE&#10;3Nox6u8vYfsHAAD//wMAUEsDBBQABgAIAAAAIQBO544H2gAAAAUBAAAPAAAAZHJzL2Rvd25yZXYu&#10;eG1sTI/BTsMwEETvSPyDtUhcEHUahQqFbKqqAnFu6YWbG2+TiHidxG6T8vUsJziOZjTzpljPrlMX&#10;GkPrGWG5SEARV962XCMcPt4en0GFaNiazjMhXCnAury9KUxu/cQ7uuxjraSEQ24Qmhj7XOtQNeRM&#10;WPieWLyTH52JIsda29FMUu46nSbJSjvTsiw0pqdtQ9XX/uwQ/PR6dZ6GJH34/Hbv282wO6UD4v3d&#10;vHkBFWmOf2H4xRd0KIXp6M9sg+oQ5EhESDNQYj5lK9FHhGyZgS4L/Z++/AEAAP//AwBQSwECLQAU&#10;AAYACAAAACEAtoM4kv4AAADhAQAAEwAAAAAAAAAAAAAAAAAAAAAAW0NvbnRlbnRfVHlwZXNdLnht&#10;bFBLAQItABQABgAIAAAAIQA4/SH/1gAAAJQBAAALAAAAAAAAAAAAAAAAAC8BAABfcmVscy8ucmVs&#10;c1BLAQItABQABgAIAAAAIQCrrlVnKQIAAFoEAAAOAAAAAAAAAAAAAAAAAC4CAABkcnMvZTJvRG9j&#10;LnhtbFBLAQItABQABgAIAAAAIQBO544H2gAAAAUBAAAPAAAAAAAAAAAAAAAAAIMEAABkcnMvZG93&#10;bnJldi54bWxQSwUGAAAAAAQABADzAAAAigUAAAAA&#10;" strokecolor="white">
                <v:textbox>
                  <w:txbxContent>
                    <w:p w:rsidR="005A0B95" w:rsidRPr="002C14EE" w:rsidRDefault="005A0B95" w:rsidP="008A0E5D">
                      <w:pPr>
                        <w:jc w:val="center"/>
                        <w:rPr>
                          <w:b/>
                          <w:sz w:val="24"/>
                        </w:rPr>
                      </w:pPr>
                      <w:r w:rsidRPr="002C14EE">
                        <w:rPr>
                          <w:b/>
                          <w:sz w:val="24"/>
                        </w:rPr>
                        <w:t>ЭКОНОМИЧЕСКИЙ ПОТЕНЦИАЛ СЭП</w:t>
                      </w:r>
                      <w:r>
                        <w:rPr>
                          <w:b/>
                          <w:sz w:val="24"/>
                        </w:rPr>
                        <w:t xml:space="preserve"> РЕГИОНА</w:t>
                      </w:r>
                    </w:p>
                  </w:txbxContent>
                </v:textbox>
                <w10:wrap anchorx="margin"/>
              </v:shape>
            </w:pict>
          </mc:Fallback>
        </mc:AlternateContent>
      </w:r>
    </w:p>
    <w:p w:rsidR="008A0E5D" w:rsidRPr="00BA321C" w:rsidRDefault="005A0B95" w:rsidP="00BA321C">
      <w:pPr>
        <w:shd w:val="clear" w:color="auto" w:fill="FFFFFF" w:themeFill="background1"/>
        <w:spacing w:after="0" w:line="240" w:lineRule="auto"/>
        <w:ind w:firstLine="851"/>
        <w:jc w:val="both"/>
        <w:rPr>
          <w:rFonts w:ascii="Times New Roman" w:hAnsi="Times New Roman"/>
          <w:sz w:val="24"/>
          <w:szCs w:val="24"/>
        </w:rPr>
      </w:pPr>
      <w:r w:rsidRPr="00BA321C">
        <w:rPr>
          <w:rFonts w:ascii="Times New Roman" w:hAnsi="Times New Roman"/>
          <w:noProof/>
          <w:sz w:val="28"/>
          <w:szCs w:val="28"/>
          <w:lang w:eastAsia="ru-RU"/>
        </w:rPr>
        <mc:AlternateContent>
          <mc:Choice Requires="wps">
            <w:drawing>
              <wp:anchor distT="0" distB="0" distL="114300" distR="114300" simplePos="0" relativeHeight="251780096" behindDoc="0" locked="0" layoutInCell="1" allowOverlap="1" wp14:anchorId="6A17C78A" wp14:editId="2D4EED93">
                <wp:simplePos x="0" y="0"/>
                <wp:positionH relativeFrom="margin">
                  <wp:align>center</wp:align>
                </wp:positionH>
                <wp:positionV relativeFrom="paragraph">
                  <wp:posOffset>108585</wp:posOffset>
                </wp:positionV>
                <wp:extent cx="3771900" cy="1162050"/>
                <wp:effectExtent l="0" t="0" r="19050" b="19050"/>
                <wp:wrapNone/>
                <wp:docPr id="1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162050"/>
                        </a:xfrm>
                        <a:prstGeom prst="rect">
                          <a:avLst/>
                        </a:prstGeom>
                        <a:solidFill>
                          <a:srgbClr val="FFFFFF"/>
                        </a:solidFill>
                        <a:ln w="9525">
                          <a:solidFill>
                            <a:srgbClr val="000000"/>
                          </a:solidFill>
                          <a:miter lim="800000"/>
                          <a:headEnd/>
                          <a:tailEnd/>
                        </a:ln>
                      </wps:spPr>
                      <wps:txbx>
                        <w:txbxContent>
                          <w:p w:rsidR="005A0B95" w:rsidRPr="008A0E5D" w:rsidRDefault="005A0B95" w:rsidP="008A0E5D">
                            <w:pPr>
                              <w:spacing w:after="0" w:line="240" w:lineRule="auto"/>
                              <w:rPr>
                                <w:rFonts w:ascii="Times New Roman" w:hAnsi="Times New Roman"/>
                                <w:sz w:val="20"/>
                                <w:szCs w:val="20"/>
                              </w:rPr>
                            </w:pPr>
                            <w:r w:rsidRPr="002C14EE">
                              <w:rPr>
                                <w:rFonts w:ascii="Times New Roman" w:hAnsi="Times New Roman"/>
                                <w:b/>
                                <w:sz w:val="20"/>
                                <w:szCs w:val="20"/>
                              </w:rPr>
                              <w:t>Группа 1</w:t>
                            </w:r>
                            <w:r>
                              <w:rPr>
                                <w:rFonts w:ascii="Times New Roman" w:hAnsi="Times New Roman"/>
                                <w:sz w:val="20"/>
                                <w:szCs w:val="20"/>
                              </w:rPr>
                              <w:t xml:space="preserve"> (ресурсная база)</w:t>
                            </w:r>
                            <w:r w:rsidRPr="008A0E5D">
                              <w:rPr>
                                <w:rFonts w:ascii="Times New Roman" w:hAnsi="Times New Roman"/>
                                <w:sz w:val="20"/>
                                <w:szCs w:val="20"/>
                              </w:rPr>
                              <w:t>:</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Промышленный потенциал</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Развитие информационно-коммуникационных технологий</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Развитие транспортной инфраструктуры</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Сельскохозяйственный потенциал</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Степень развития энергетического комплекса</w:t>
                            </w:r>
                          </w:p>
                          <w:p w:rsidR="005A0B95" w:rsidRPr="008A0E5D" w:rsidRDefault="005A0B95" w:rsidP="008A0E5D">
                            <w:pPr>
                              <w:spacing w:after="0" w:line="240" w:lineRule="auto"/>
                              <w:rPr>
                                <w:rFonts w:ascii="Times New Roman" w:hAnsi="Times New Roman"/>
                                <w:sz w:val="20"/>
                                <w:szCs w:val="20"/>
                              </w:rPr>
                            </w:pPr>
                            <w:r w:rsidRPr="008A0E5D">
                              <w:rPr>
                                <w:rFonts w:ascii="Times New Roman" w:eastAsia="Times New Roman" w:hAnsi="Times New Roman"/>
                                <w:sz w:val="20"/>
                                <w:szCs w:val="20"/>
                                <w:lang w:eastAsia="ru-RU"/>
                              </w:rPr>
                              <w:t>Уровень развития рыночной инфраструктуры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7C78A" id="Text Box 293" o:spid="_x0000_s1033" type="#_x0000_t202" style="position:absolute;left:0;text-align:left;margin-left:0;margin-top:8.55pt;width:297pt;height:91.5pt;z-index:251780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H1BLwIAAFsEAAAOAAAAZHJzL2Uyb0RvYy54bWysVNuO2yAQfa/Uf0C8N74k2WysOKtttqkq&#10;bS/Sbj8AYxyjYoYCiZ1+fQecpNG2fanqB8Qww2HmnBmv7oZOkYOwToIuaTZJKRGaQy31rqRfn7dv&#10;bilxnumaKdCipEfh6N369atVbwqRQwuqFpYgiHZFb0raem+KJHG8FR1zEzBCo7MB2zGPpt0ltWU9&#10;oncqydP0JunB1sYCF87h6cPopOuI3zSC+89N44QnqqSYm4+rjWsV1mS9YsXOMtNKfkqD/UMWHZMa&#10;H71APTDPyN7K36A6yS04aPyEQ5dA00guYg1YTZa+qOapZUbEWpAcZy40uf8Hyz8dvlgia9RuSolm&#10;HWr0LAZP3sJA8uU0ENQbV2Dck8FIP6ADg2OxzjwC/+aIhk3L9E7cWwt9K1iNCWbhZnJ1dcRxAaTq&#10;P0KND7G9hwg0NLYL7CEfBNFRqONFnJAMx8PpYpEtU3Rx9GXZTZ7Oo3wJK87XjXX+vYCOhE1JLaof&#10;4dnh0fmQDivOIeE1B0rWW6lUNOyu2ihLDgw7ZRu/WMGLMKVJX9LlPJ+PDPwVIo3fnyA66bHllexK&#10;ensJYkXg7Z2uY0N6JtW4x5SVPhEZuBtZ9EM1RNEWZ30qqI/IrIWxw3EicdOC/UFJj91dUvd9z6yg&#10;RH3QqM4ym83COERjNl/kaNhrT3XtYZojVEk9JeN248cR2hsrdy2+NPaDhntUtJGR6yD9mNUpfezg&#10;KMFp2sKIXNsx6tc/Yf0TAAD//wMAUEsDBBQABgAIAAAAIQAidCkc3QAAAAcBAAAPAAAAZHJzL2Rv&#10;d25yZXYueG1sTI/NTsMwEITvSLyDtUhcUOsESn9CnAohgegNWgRXN94mEfY62G4a3p7lBMedWc18&#10;U65HZ8WAIXaeFOTTDARS7U1HjYK33eNkCSImTUZbT6jgGyOsq/OzUhfGn+gVh21qBIdQLLSCNqW+&#10;kDLWLTodp75HYu/gg9OJz9BIE/SJw52V11k2l053xA2t7vGhxfpze3QKlrPn4SNubl7e6/nBrtLV&#10;Ynj6CkpdXoz3dyASjunvGX7xGR0qZtr7I5korAIeklhd5CDYvV3NWNgr4NIcZFXK//zVDwAAAP//&#10;AwBQSwECLQAUAAYACAAAACEAtoM4kv4AAADhAQAAEwAAAAAAAAAAAAAAAAAAAAAAW0NvbnRlbnRf&#10;VHlwZXNdLnhtbFBLAQItABQABgAIAAAAIQA4/SH/1gAAAJQBAAALAAAAAAAAAAAAAAAAAC8BAABf&#10;cmVscy8ucmVsc1BLAQItABQABgAIAAAAIQDjMH1BLwIAAFsEAAAOAAAAAAAAAAAAAAAAAC4CAABk&#10;cnMvZTJvRG9jLnhtbFBLAQItABQABgAIAAAAIQAidCkc3QAAAAcBAAAPAAAAAAAAAAAAAAAAAIkE&#10;AABkcnMvZG93bnJldi54bWxQSwUGAAAAAAQABADzAAAAkwUAAAAA&#10;">
                <v:textbox>
                  <w:txbxContent>
                    <w:p w:rsidR="005A0B95" w:rsidRPr="008A0E5D" w:rsidRDefault="005A0B95" w:rsidP="008A0E5D">
                      <w:pPr>
                        <w:spacing w:after="0" w:line="240" w:lineRule="auto"/>
                        <w:rPr>
                          <w:rFonts w:ascii="Times New Roman" w:hAnsi="Times New Roman"/>
                          <w:sz w:val="20"/>
                          <w:szCs w:val="20"/>
                        </w:rPr>
                      </w:pPr>
                      <w:r w:rsidRPr="002C14EE">
                        <w:rPr>
                          <w:rFonts w:ascii="Times New Roman" w:hAnsi="Times New Roman"/>
                          <w:b/>
                          <w:sz w:val="20"/>
                          <w:szCs w:val="20"/>
                        </w:rPr>
                        <w:t>Группа 1</w:t>
                      </w:r>
                      <w:r>
                        <w:rPr>
                          <w:rFonts w:ascii="Times New Roman" w:hAnsi="Times New Roman"/>
                          <w:sz w:val="20"/>
                          <w:szCs w:val="20"/>
                        </w:rPr>
                        <w:t xml:space="preserve"> (ресурсная база)</w:t>
                      </w:r>
                      <w:r w:rsidRPr="008A0E5D">
                        <w:rPr>
                          <w:rFonts w:ascii="Times New Roman" w:hAnsi="Times New Roman"/>
                          <w:sz w:val="20"/>
                          <w:szCs w:val="20"/>
                        </w:rPr>
                        <w:t>:</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Промышленный потенциал</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Развитие информационно-коммуникационных технологий</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Развитие транспортной инфраструктуры</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Сельскохозяйственный потенциал</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Степень развития энергетического комплекса</w:t>
                      </w:r>
                    </w:p>
                    <w:p w:rsidR="005A0B95" w:rsidRPr="008A0E5D" w:rsidRDefault="005A0B95" w:rsidP="008A0E5D">
                      <w:pPr>
                        <w:spacing w:after="0" w:line="240" w:lineRule="auto"/>
                        <w:rPr>
                          <w:rFonts w:ascii="Times New Roman" w:hAnsi="Times New Roman"/>
                          <w:sz w:val="20"/>
                          <w:szCs w:val="20"/>
                        </w:rPr>
                      </w:pPr>
                      <w:r w:rsidRPr="008A0E5D">
                        <w:rPr>
                          <w:rFonts w:ascii="Times New Roman" w:eastAsia="Times New Roman" w:hAnsi="Times New Roman"/>
                          <w:sz w:val="20"/>
                          <w:szCs w:val="20"/>
                          <w:lang w:eastAsia="ru-RU"/>
                        </w:rPr>
                        <w:t>Уровень развития рыночной инфраструктуры</w:t>
                      </w:r>
                    </w:p>
                  </w:txbxContent>
                </v:textbox>
                <w10:wrap anchorx="margin"/>
              </v:shape>
            </w:pict>
          </mc:Fallback>
        </mc:AlternateContent>
      </w:r>
    </w:p>
    <w:p w:rsidR="008A0E5D" w:rsidRPr="00BA321C" w:rsidRDefault="008A0E5D" w:rsidP="00BA321C">
      <w:pPr>
        <w:shd w:val="clear" w:color="auto" w:fill="FFFFFF" w:themeFill="background1"/>
        <w:spacing w:after="0" w:line="240" w:lineRule="auto"/>
        <w:ind w:firstLine="851"/>
        <w:jc w:val="both"/>
        <w:rPr>
          <w:rFonts w:ascii="Times New Roman" w:hAnsi="Times New Roman"/>
          <w:sz w:val="24"/>
          <w:szCs w:val="24"/>
        </w:rPr>
      </w:pPr>
    </w:p>
    <w:p w:rsidR="00FB5018" w:rsidRPr="00BA321C" w:rsidRDefault="00FB5018" w:rsidP="00BA321C">
      <w:pPr>
        <w:shd w:val="clear" w:color="auto" w:fill="FFFFFF" w:themeFill="background1"/>
        <w:spacing w:after="0" w:line="360" w:lineRule="auto"/>
        <w:ind w:firstLine="851"/>
        <w:jc w:val="both"/>
        <w:rPr>
          <w:rFonts w:ascii="Times New Roman" w:hAnsi="Times New Roman"/>
          <w:sz w:val="28"/>
          <w:szCs w:val="28"/>
          <w:lang w:eastAsia="ru-RU"/>
        </w:rPr>
      </w:pPr>
    </w:p>
    <w:p w:rsidR="00FB5018" w:rsidRPr="00BA321C" w:rsidRDefault="00FB5018" w:rsidP="00BA321C">
      <w:pPr>
        <w:shd w:val="clear" w:color="auto" w:fill="FFFFFF" w:themeFill="background1"/>
        <w:spacing w:after="0" w:line="360" w:lineRule="auto"/>
        <w:jc w:val="both"/>
        <w:rPr>
          <w:rFonts w:ascii="Times New Roman" w:hAnsi="Times New Roman"/>
          <w:sz w:val="28"/>
          <w:szCs w:val="28"/>
          <w:lang w:eastAsia="ru-RU"/>
        </w:rPr>
      </w:pPr>
    </w:p>
    <w:p w:rsidR="00FB5018" w:rsidRPr="00BA321C" w:rsidRDefault="00FB5018" w:rsidP="00BA321C">
      <w:pPr>
        <w:shd w:val="clear" w:color="auto" w:fill="FFFFFF" w:themeFill="background1"/>
        <w:spacing w:after="0" w:line="360" w:lineRule="auto"/>
        <w:ind w:firstLine="851"/>
        <w:jc w:val="both"/>
        <w:rPr>
          <w:rFonts w:ascii="Times New Roman" w:hAnsi="Times New Roman"/>
          <w:sz w:val="28"/>
          <w:szCs w:val="28"/>
          <w:lang w:eastAsia="ru-RU"/>
        </w:rPr>
      </w:pPr>
    </w:p>
    <w:p w:rsidR="00FB5018"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1120" behindDoc="0" locked="0" layoutInCell="1" allowOverlap="1" wp14:anchorId="096CBD71" wp14:editId="2BAC538C">
                <wp:simplePos x="0" y="0"/>
                <wp:positionH relativeFrom="margin">
                  <wp:align>center</wp:align>
                </wp:positionH>
                <wp:positionV relativeFrom="paragraph">
                  <wp:posOffset>62865</wp:posOffset>
                </wp:positionV>
                <wp:extent cx="3771900" cy="409575"/>
                <wp:effectExtent l="0" t="0" r="19050" b="28575"/>
                <wp:wrapNone/>
                <wp:docPr id="12"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09575"/>
                        </a:xfrm>
                        <a:prstGeom prst="rect">
                          <a:avLst/>
                        </a:prstGeom>
                        <a:solidFill>
                          <a:srgbClr val="FFFFFF"/>
                        </a:solidFill>
                        <a:ln w="9525">
                          <a:solidFill>
                            <a:srgbClr val="000000"/>
                          </a:solidFill>
                          <a:miter lim="800000"/>
                          <a:headEnd/>
                          <a:tailEnd/>
                        </a:ln>
                      </wps:spPr>
                      <wps:txbx>
                        <w:txbxContent>
                          <w:p w:rsidR="005A0B95" w:rsidRPr="002C14EE" w:rsidRDefault="005A0B95" w:rsidP="008A0E5D">
                            <w:pPr>
                              <w:spacing w:after="0" w:line="240" w:lineRule="auto"/>
                              <w:rPr>
                                <w:rFonts w:ascii="Times New Roman" w:eastAsia="Times New Roman" w:hAnsi="Times New Roman"/>
                                <w:b/>
                                <w:sz w:val="20"/>
                                <w:szCs w:val="20"/>
                                <w:lang w:eastAsia="ru-RU"/>
                              </w:rPr>
                            </w:pPr>
                            <w:r w:rsidRPr="002C14EE">
                              <w:rPr>
                                <w:rFonts w:ascii="Times New Roman" w:eastAsia="Times New Roman" w:hAnsi="Times New Roman"/>
                                <w:b/>
                                <w:sz w:val="20"/>
                                <w:szCs w:val="20"/>
                                <w:lang w:eastAsia="ru-RU"/>
                              </w:rPr>
                              <w:t xml:space="preserve">Группа 2: </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Инвестиционная привлекательн</w:t>
                            </w:r>
                            <w:r>
                              <w:rPr>
                                <w:rFonts w:ascii="Times New Roman" w:eastAsia="Times New Roman" w:hAnsi="Times New Roman"/>
                                <w:sz w:val="20"/>
                                <w:szCs w:val="20"/>
                                <w:lang w:eastAsia="ru-RU"/>
                              </w:rPr>
                              <w:t>о</w:t>
                            </w:r>
                            <w:r w:rsidRPr="008A0E5D">
                              <w:rPr>
                                <w:rFonts w:ascii="Times New Roman" w:eastAsia="Times New Roman" w:hAnsi="Times New Roman"/>
                                <w:sz w:val="20"/>
                                <w:szCs w:val="20"/>
                                <w:lang w:eastAsia="ru-RU"/>
                              </w:rPr>
                              <w:t>сть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CBD71" id="Text Box 294" o:spid="_x0000_s1034" type="#_x0000_t202" style="position:absolute;left:0;text-align:left;margin-left:0;margin-top:4.95pt;width:297pt;height:32.25pt;z-index:251781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S4hLgIAAFoEAAAOAAAAZHJzL2Uyb0RvYy54bWysVNtu2zAMfR+wfxD0vtjxkiUx4hRdugwD&#10;ugvQ7gNkWY6FSaImKbG7ry8lp2l2exnmB4EUqUPykPT6atCKHIXzEkxFp5OcEmE4NNLsK/r1fvdq&#10;SYkPzDRMgREVfRCeXm1evlj3thQFdKAa4QiCGF/2tqJdCLbMMs87oZmfgBUGjS04zQKqbp81jvWI&#10;rlVW5PmbrAfXWAdceI+3N6ORbhJ+2woePretF4GoimJuIZ0unXU8s82alXvHbCf5KQ32D1loJg0G&#10;PUPdsMDIwcnfoLTkDjy0YcJBZ9C2kotUA1YzzX+p5q5jVqRakBxvzzT5/wfLPx2/OCIb7F1BiWEa&#10;e3QvhkDewkCK1SwS1Ftfot+dRc8woAGdU7He3gL/5omBbcfMXlw7B30nWIMJTuPL7OLpiOMjSN1/&#10;hAYDsUOABDS0Tkf2kA+C6Nioh3NzYjIcL18vFtNVjiaOtlm+mi/mKQQrn15b58N7AZpEoaIOm5/Q&#10;2fHWh5gNK59cYjAPSjY7qVRS3L7eKkeODAdll74T+k9uypC+oqt5MR8J+CtEnr4/QWgZcOKV1BVd&#10;np1YGWl7Z5o0j4FJNcqYsjInHiN1I4lhqIfUs2UMEDmuoXlAYh2MA44LiUIH7gclPQ53Rf33A3OC&#10;EvXBYHNW09ksbkNSZvNFgYq7tNSXFmY4QlU0UDKK2zBu0ME6ue8w0jgOBq6xoa1MXD9ndUofBzi1&#10;4LRscUMu9eT1/EvYPAIAAP//AwBQSwMEFAAGAAgAAAAhAM6KB5HcAAAABQEAAA8AAABkcnMvZG93&#10;bnJldi54bWxMj8FOwzAQRO9I/IO1SFwQdYDQNiGbCiGB4AZtBVc33iYR9jrYbhr+HnOC42hGM2+q&#10;1WSNGMmH3jHC1SwDQdw43XOLsN08Xi5BhKhYK+OYEL4pwKo+PalUqd2R32hcx1akEg6lQuhiHEop&#10;Q9ORVWHmBuLk7Z23KibpW6m9OqZya+R1ls2lVT2nhU4N9NBR87k+WIRl/jx+hJeb1/dmvjdFvFiM&#10;T18e8fxsur8DEWmKf2H4xU/oUCemnTuwDsIgpCMRoShAJPO2yJPeISzyHGRdyf/09Q8AAAD//wMA&#10;UEsBAi0AFAAGAAgAAAAhALaDOJL+AAAA4QEAABMAAAAAAAAAAAAAAAAAAAAAAFtDb250ZW50X1R5&#10;cGVzXS54bWxQSwECLQAUAAYACAAAACEAOP0h/9YAAACUAQAACwAAAAAAAAAAAAAAAAAvAQAAX3Jl&#10;bHMvLnJlbHNQSwECLQAUAAYACAAAACEAcM0uIS4CAABaBAAADgAAAAAAAAAAAAAAAAAuAgAAZHJz&#10;L2Uyb0RvYy54bWxQSwECLQAUAAYACAAAACEAzooHkdwAAAAFAQAADwAAAAAAAAAAAAAAAACIBAAA&#10;ZHJzL2Rvd25yZXYueG1sUEsFBgAAAAAEAAQA8wAAAJEFAAAAAA==&#10;">
                <v:textbox>
                  <w:txbxContent>
                    <w:p w:rsidR="005A0B95" w:rsidRPr="002C14EE" w:rsidRDefault="005A0B95" w:rsidP="008A0E5D">
                      <w:pPr>
                        <w:spacing w:after="0" w:line="240" w:lineRule="auto"/>
                        <w:rPr>
                          <w:rFonts w:ascii="Times New Roman" w:eastAsia="Times New Roman" w:hAnsi="Times New Roman"/>
                          <w:b/>
                          <w:sz w:val="20"/>
                          <w:szCs w:val="20"/>
                          <w:lang w:eastAsia="ru-RU"/>
                        </w:rPr>
                      </w:pPr>
                      <w:r w:rsidRPr="002C14EE">
                        <w:rPr>
                          <w:rFonts w:ascii="Times New Roman" w:eastAsia="Times New Roman" w:hAnsi="Times New Roman"/>
                          <w:b/>
                          <w:sz w:val="20"/>
                          <w:szCs w:val="20"/>
                          <w:lang w:eastAsia="ru-RU"/>
                        </w:rPr>
                        <w:t xml:space="preserve">Группа 2: </w:t>
                      </w:r>
                    </w:p>
                    <w:p w:rsidR="005A0B95" w:rsidRPr="008A0E5D" w:rsidRDefault="005A0B95" w:rsidP="008A0E5D">
                      <w:pPr>
                        <w:spacing w:after="0" w:line="240" w:lineRule="auto"/>
                        <w:rPr>
                          <w:rFonts w:ascii="Times New Roman" w:eastAsia="Times New Roman" w:hAnsi="Times New Roman"/>
                          <w:sz w:val="20"/>
                          <w:szCs w:val="20"/>
                          <w:lang w:eastAsia="ru-RU"/>
                        </w:rPr>
                      </w:pPr>
                      <w:r w:rsidRPr="008A0E5D">
                        <w:rPr>
                          <w:rFonts w:ascii="Times New Roman" w:eastAsia="Times New Roman" w:hAnsi="Times New Roman"/>
                          <w:sz w:val="20"/>
                          <w:szCs w:val="20"/>
                          <w:lang w:eastAsia="ru-RU"/>
                        </w:rPr>
                        <w:t>Инвестиционная привлекательн</w:t>
                      </w:r>
                      <w:r>
                        <w:rPr>
                          <w:rFonts w:ascii="Times New Roman" w:eastAsia="Times New Roman" w:hAnsi="Times New Roman"/>
                          <w:sz w:val="20"/>
                          <w:szCs w:val="20"/>
                          <w:lang w:eastAsia="ru-RU"/>
                        </w:rPr>
                        <w:t>о</w:t>
                      </w:r>
                      <w:r w:rsidRPr="008A0E5D">
                        <w:rPr>
                          <w:rFonts w:ascii="Times New Roman" w:eastAsia="Times New Roman" w:hAnsi="Times New Roman"/>
                          <w:sz w:val="20"/>
                          <w:szCs w:val="20"/>
                          <w:lang w:eastAsia="ru-RU"/>
                        </w:rPr>
                        <w:t>сть региона</w:t>
                      </w:r>
                    </w:p>
                  </w:txbxContent>
                </v:textbox>
                <w10:wrap anchorx="margin"/>
              </v:shape>
            </w:pict>
          </mc:Fallback>
        </mc:AlternateContent>
      </w:r>
    </w:p>
    <w:p w:rsidR="00FB5018"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2144" behindDoc="0" locked="0" layoutInCell="1" allowOverlap="1" wp14:anchorId="65E9C85D" wp14:editId="54B871FF">
                <wp:simplePos x="0" y="0"/>
                <wp:positionH relativeFrom="margin">
                  <wp:align>center</wp:align>
                </wp:positionH>
                <wp:positionV relativeFrom="paragraph">
                  <wp:posOffset>213995</wp:posOffset>
                </wp:positionV>
                <wp:extent cx="3771900" cy="390525"/>
                <wp:effectExtent l="0" t="0" r="19050" b="28575"/>
                <wp:wrapNone/>
                <wp:docPr id="1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90525"/>
                        </a:xfrm>
                        <a:prstGeom prst="rect">
                          <a:avLst/>
                        </a:prstGeom>
                        <a:solidFill>
                          <a:srgbClr val="FFFFFF"/>
                        </a:solidFill>
                        <a:ln w="9525">
                          <a:solidFill>
                            <a:srgbClr val="000000"/>
                          </a:solidFill>
                          <a:miter lim="800000"/>
                          <a:headEnd/>
                          <a:tailEnd/>
                        </a:ln>
                      </wps:spPr>
                      <wps:txbx>
                        <w:txbxContent>
                          <w:p w:rsidR="005A0B95" w:rsidRPr="008A0E5D" w:rsidRDefault="005A0B95" w:rsidP="008A0E5D">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3</w:t>
                            </w:r>
                            <w:r>
                              <w:rPr>
                                <w:rFonts w:ascii="Times New Roman" w:eastAsia="Times New Roman" w:hAnsi="Times New Roman"/>
                                <w:sz w:val="20"/>
                                <w:szCs w:val="20"/>
                                <w:lang w:eastAsia="ru-RU"/>
                              </w:rPr>
                              <w:t xml:space="preserve"> (качество человеческого капитала)</w:t>
                            </w:r>
                            <w:r w:rsidRPr="008A0E5D">
                              <w:rPr>
                                <w:rFonts w:ascii="Times New Roman" w:eastAsia="Times New Roman" w:hAnsi="Times New Roman"/>
                                <w:sz w:val="20"/>
                                <w:szCs w:val="20"/>
                                <w:lang w:eastAsia="ru-RU"/>
                              </w:rPr>
                              <w:t>:</w:t>
                            </w:r>
                          </w:p>
                          <w:p w:rsidR="005A0B95" w:rsidRPr="008A0E5D" w:rsidRDefault="005A0B95" w:rsidP="008A0E5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Степень развития трудовых ресурсов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9C85D" id="Text Box 295" o:spid="_x0000_s1035" type="#_x0000_t202" style="position:absolute;left:0;text-align:left;margin-left:0;margin-top:16.85pt;width:297pt;height:30.75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3XYLAIAAFoEAAAOAAAAZHJzL2Uyb0RvYy54bWysVNtu2zAMfR+wfxD0vthOk7U24hRdugwD&#10;ugvQ7gNkWbaFyaImKbGzry8lJ1nQDXsY5gdBEqlD8hzSq9uxV2QvrJOgS5rNUkqE5lBL3Zb029P2&#10;zQ0lzjNdMwValPQgHL1dv361Gkwh5tCBqoUlCKJdMZiSdt6bIkkc70TP3AyM0GhswPbM49G2SW3Z&#10;gOi9SuZp+jYZwNbGAhfO4e39ZKTriN80gvsvTeOEJ6qkmJuPq41rFdZkvWJFa5npJD+mwf4hi55J&#10;jUHPUPfMM7Kz8jeoXnILDho/49An0DSSi1gDVpOlL6p57JgRsRYkx5kzTe7/wfLP+6+WyBq1yyjR&#10;rEeNnsToyTsYyTxfBoIG4wr0ezTo6Uc0oHMs1pkH4N8d0bDpmG7FnbUwdILVmGAWXiYXTyccF0Cq&#10;4RPUGIjtPESgsbF9YA/5IIiOQh3O4oRkOF5eXV9neYomjrarPF3OY3IJK06vjXX+g4CehE1JLYof&#10;0dn+wfmQDStOLiGYAyXrrVQqHmxbbZQle4aNso1fLOCFm9JkKGkeYv8dIo3fnyB66bHjlexLenN2&#10;YkWg7b2uYz96JtW0x5SVPvIYqJtI9GM1Rs3ykzwV1Ack1sLU4DiQuOnA/qRkwOYuqfuxY1ZQoj5q&#10;FCfPFoswDfGwWF7P8WAvLdWlhWmOUCX1lEzbjZ8maGesbDuMNLWDhjsUtJGR66D8lNUxfWzgKMFx&#10;2MKEXJ6j169fwvoZAAD//wMAUEsDBBQABgAIAAAAIQDaAtMk3QAAAAYBAAAPAAAAZHJzL2Rvd25y&#10;ZXYueG1sTI/NTsMwEITvSLyDtUhcUOvQ9C8hmwohgegNWgRXN94mEfE62G4a3h5zguPOjGa+LTaj&#10;6cRAzreWEW6nCQjiyuqWa4S3/eNkDcIHxVp1lgnhmzxsysuLQuXanvmVhl2oRSxhnyuEJoQ+l9JX&#10;DRnlp7Ynjt7ROqNCPF0ttVPnWG46OUuSpTSq5bjQqJ4eGqo+dyeDsJ4/Dx9+m768V8tjl4Wb1fD0&#10;5RCvr8b7OxCBxvAXhl/8iA5lZDrYE2svOoT4SEBI0xWI6C6yeRQOCNliBrIs5H/88gcAAP//AwBQ&#10;SwECLQAUAAYACAAAACEAtoM4kv4AAADhAQAAEwAAAAAAAAAAAAAAAAAAAAAAW0NvbnRlbnRfVHlw&#10;ZXNdLnhtbFBLAQItABQABgAIAAAAIQA4/SH/1gAAAJQBAAALAAAAAAAAAAAAAAAAAC8BAABfcmVs&#10;cy8ucmVsc1BLAQItABQABgAIAAAAIQAzv3XYLAIAAFoEAAAOAAAAAAAAAAAAAAAAAC4CAABkcnMv&#10;ZTJvRG9jLnhtbFBLAQItABQABgAIAAAAIQDaAtMk3QAAAAYBAAAPAAAAAAAAAAAAAAAAAIYEAABk&#10;cnMvZG93bnJldi54bWxQSwUGAAAAAAQABADzAAAAkAUAAAAA&#10;">
                <v:textbox>
                  <w:txbxContent>
                    <w:p w:rsidR="005A0B95" w:rsidRPr="008A0E5D" w:rsidRDefault="005A0B95" w:rsidP="008A0E5D">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3</w:t>
                      </w:r>
                      <w:r>
                        <w:rPr>
                          <w:rFonts w:ascii="Times New Roman" w:eastAsia="Times New Roman" w:hAnsi="Times New Roman"/>
                          <w:sz w:val="20"/>
                          <w:szCs w:val="20"/>
                          <w:lang w:eastAsia="ru-RU"/>
                        </w:rPr>
                        <w:t xml:space="preserve"> (качество человеческого капитала)</w:t>
                      </w:r>
                      <w:r w:rsidRPr="008A0E5D">
                        <w:rPr>
                          <w:rFonts w:ascii="Times New Roman" w:eastAsia="Times New Roman" w:hAnsi="Times New Roman"/>
                          <w:sz w:val="20"/>
                          <w:szCs w:val="20"/>
                          <w:lang w:eastAsia="ru-RU"/>
                        </w:rPr>
                        <w:t>:</w:t>
                      </w:r>
                    </w:p>
                    <w:p w:rsidR="005A0B95" w:rsidRPr="008A0E5D" w:rsidRDefault="005A0B95" w:rsidP="008A0E5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Степень развития трудовых ресурсов</w:t>
                      </w:r>
                    </w:p>
                  </w:txbxContent>
                </v:textbox>
                <w10:wrap anchorx="margin"/>
              </v:shape>
            </w:pict>
          </mc:Fallback>
        </mc:AlternateContent>
      </w:r>
    </w:p>
    <w:p w:rsidR="00FB5018" w:rsidRPr="00BA321C" w:rsidRDefault="00FB5018" w:rsidP="00BA321C">
      <w:pPr>
        <w:shd w:val="clear" w:color="auto" w:fill="FFFFFF" w:themeFill="background1"/>
        <w:spacing w:after="0" w:line="360" w:lineRule="auto"/>
        <w:ind w:firstLine="851"/>
        <w:jc w:val="both"/>
        <w:rPr>
          <w:rFonts w:ascii="Times New Roman" w:hAnsi="Times New Roman"/>
          <w:sz w:val="28"/>
          <w:szCs w:val="28"/>
          <w:lang w:eastAsia="ru-RU"/>
        </w:rPr>
      </w:pPr>
    </w:p>
    <w:p w:rsidR="00FB5018"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3168" behindDoc="0" locked="0" layoutInCell="1" allowOverlap="1" wp14:anchorId="0D919764" wp14:editId="25698689">
                <wp:simplePos x="0" y="0"/>
                <wp:positionH relativeFrom="margin">
                  <wp:align>center</wp:align>
                </wp:positionH>
                <wp:positionV relativeFrom="paragraph">
                  <wp:posOffset>29210</wp:posOffset>
                </wp:positionV>
                <wp:extent cx="3781425" cy="533400"/>
                <wp:effectExtent l="0" t="0" r="28575" b="19050"/>
                <wp:wrapNone/>
                <wp:docPr id="10"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w="9525">
                          <a:solidFill>
                            <a:srgbClr val="000000"/>
                          </a:solidFill>
                          <a:miter lim="800000"/>
                          <a:headEnd/>
                          <a:tailEnd/>
                        </a:ln>
                      </wps:spPr>
                      <wps:txbx>
                        <w:txbxContent>
                          <w:p w:rsidR="005A0B95" w:rsidRPr="008A0E5D" w:rsidRDefault="005A0B95" w:rsidP="008A0E5D">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6</w:t>
                            </w:r>
                            <w:r>
                              <w:rPr>
                                <w:rFonts w:ascii="Times New Roman" w:eastAsia="Times New Roman" w:hAnsi="Times New Roman"/>
                                <w:sz w:val="20"/>
                                <w:szCs w:val="20"/>
                                <w:lang w:eastAsia="ru-RU"/>
                              </w:rPr>
                              <w:t xml:space="preserve"> (Демографический «каркас» промышленно-индустриального развития региона)</w:t>
                            </w:r>
                            <w:r w:rsidRPr="008A0E5D">
                              <w:rPr>
                                <w:rFonts w:ascii="Times New Roman" w:eastAsia="Times New Roman" w:hAnsi="Times New Roman"/>
                                <w:sz w:val="20"/>
                                <w:szCs w:val="20"/>
                                <w:lang w:eastAsia="ru-RU"/>
                              </w:rPr>
                              <w:t>:</w:t>
                            </w:r>
                          </w:p>
                          <w:p w:rsidR="005A0B95" w:rsidRPr="008A0E5D" w:rsidRDefault="005A0B95" w:rsidP="008A0E5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Демографический потенциал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19764" id="Text Box 296" o:spid="_x0000_s1036" type="#_x0000_t202" style="position:absolute;left:0;text-align:left;margin-left:0;margin-top:2.3pt;width:297.75pt;height:42pt;z-index:25178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vvALAIAAFsEAAAOAAAAZHJzL2Uyb0RvYy54bWysVNuO2yAQfa/Uf0C8N851N7HirLbZpqq0&#10;vUi7/QCMsY0KDAUSO/36DjhJo23Vh6p+QMAMhzPnDF7f9VqRg3BeginoZDSmRBgOlTRNQb8+794s&#10;KfGBmYopMKKgR+Hp3eb1q3VnczGFFlQlHEEQ4/POFrQNweZZ5nkrNPMjsMJgsAanWcCla7LKsQ7R&#10;tcqm4/FN1oGrrAMuvMfdhyFINwm/rgUPn+vai0BUQZFbSKNLYxnHbLNmeeOYbSU/0WD/wEIzafDS&#10;C9QDC4zsnfwNSkvuwEMdRhx0BnUtuUg1YDWT8YtqnlpmRaoFxfH2IpP/f7D80+GLI7JC71AewzR6&#10;9Cz6QN5CT6armyhQZ32OeU8WM0OPAUxOxXr7CPybJwa2LTONuHcOulawCglO4sns6uiA4yNI2X2E&#10;Ci9i+wAJqK+djuqhHgTRkcnxYk4kw3FzdruczKcLSjjGFrPZfJzcy1h+Pm2dD+8FaBInBXVofkJn&#10;h0cfIhuWn1PiZR6UrHZSqbRwTblVjhwYNsoufamAF2nKkK6gqwXy+DvEOH1/gtAyYMcrqQu6vCSx&#10;PMr2zlSpHwOTapgjZWVOOkbpBhFDX/Znz07+lFAdUVkHQ4fji8RJC+4HJR12d0H99z1zghL1waA7&#10;q8l8Hp9DWswXt1NcuOtIeR1hhiNUQQMlw3Qbhie0t042Ld409IOBe3S0lknsaP3A6sQfOzh5cHpt&#10;8Ylcr1PWr3/C5icAAAD//wMAUEsDBBQABgAIAAAAIQB6zf1q3AAAAAUBAAAPAAAAZHJzL2Rvd25y&#10;ZXYueG1sTI/BTsMwEETvSPyDtUhcEHWAJqQhToWQQHCDguDqxtskwl4H203D37Oc4Lia0Zu39Xp2&#10;VkwY4uBJwcUiA4HUejNQp+Dt9f68BBGTJqOtJ1TwjRHWzfFRrSvjD/SC0yZ1giEUK62gT2mspIxt&#10;j07HhR+RONv54HTiM3TSBH1guLPyMssK6fRAvNDrEe96bD83e6egXD5OH/Hp6vm9LXZ2lc6up4ev&#10;oNTpyXx7AyLhnP7K8KvP6tCw09bvyURhFfAjScGyAMFhvspzEFsmlwXIppb/7ZsfAAAA//8DAFBL&#10;AQItABQABgAIAAAAIQC2gziS/gAAAOEBAAATAAAAAAAAAAAAAAAAAAAAAABbQ29udGVudF9UeXBl&#10;c10ueG1sUEsBAi0AFAAGAAgAAAAhADj9If/WAAAAlAEAAAsAAAAAAAAAAAAAAAAALwEAAF9yZWxz&#10;Ly5yZWxzUEsBAi0AFAAGAAgAAAAhAJTy+8AsAgAAWwQAAA4AAAAAAAAAAAAAAAAALgIAAGRycy9l&#10;Mm9Eb2MueG1sUEsBAi0AFAAGAAgAAAAhAHrN/WrcAAAABQEAAA8AAAAAAAAAAAAAAAAAhgQAAGRy&#10;cy9kb3ducmV2LnhtbFBLBQYAAAAABAAEAPMAAACPBQAAAAA=&#10;">
                <v:textbox>
                  <w:txbxContent>
                    <w:p w:rsidR="005A0B95" w:rsidRPr="008A0E5D" w:rsidRDefault="005A0B95" w:rsidP="008A0E5D">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6</w:t>
                      </w:r>
                      <w:r>
                        <w:rPr>
                          <w:rFonts w:ascii="Times New Roman" w:eastAsia="Times New Roman" w:hAnsi="Times New Roman"/>
                          <w:sz w:val="20"/>
                          <w:szCs w:val="20"/>
                          <w:lang w:eastAsia="ru-RU"/>
                        </w:rPr>
                        <w:t xml:space="preserve"> (Демографический «каркас» промышленно-индустриального развития региона)</w:t>
                      </w:r>
                      <w:r w:rsidRPr="008A0E5D">
                        <w:rPr>
                          <w:rFonts w:ascii="Times New Roman" w:eastAsia="Times New Roman" w:hAnsi="Times New Roman"/>
                          <w:sz w:val="20"/>
                          <w:szCs w:val="20"/>
                          <w:lang w:eastAsia="ru-RU"/>
                        </w:rPr>
                        <w:t>:</w:t>
                      </w:r>
                    </w:p>
                    <w:p w:rsidR="005A0B95" w:rsidRPr="008A0E5D" w:rsidRDefault="005A0B95" w:rsidP="008A0E5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Демографический потенциал региона</w:t>
                      </w:r>
                    </w:p>
                  </w:txbxContent>
                </v:textbox>
                <w10:wrap anchorx="margin"/>
              </v:shape>
            </w:pict>
          </mc:Fallback>
        </mc:AlternateContent>
      </w:r>
    </w:p>
    <w:p w:rsidR="008A0E5D" w:rsidRPr="00BA321C" w:rsidRDefault="008A0E5D" w:rsidP="00BA321C">
      <w:pPr>
        <w:shd w:val="clear" w:color="auto" w:fill="FFFFFF" w:themeFill="background1"/>
        <w:spacing w:after="0" w:line="360" w:lineRule="auto"/>
        <w:ind w:firstLine="851"/>
        <w:jc w:val="both"/>
        <w:rPr>
          <w:rFonts w:ascii="Times New Roman" w:hAnsi="Times New Roman"/>
          <w:sz w:val="28"/>
          <w:szCs w:val="28"/>
          <w:lang w:eastAsia="ru-RU"/>
        </w:rPr>
      </w:pPr>
    </w:p>
    <w:p w:rsidR="008A0E5D"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6240" behindDoc="0" locked="0" layoutInCell="1" allowOverlap="1" wp14:anchorId="08F147C0" wp14:editId="2B5A566F">
                <wp:simplePos x="0" y="0"/>
                <wp:positionH relativeFrom="margin">
                  <wp:align>center</wp:align>
                </wp:positionH>
                <wp:positionV relativeFrom="paragraph">
                  <wp:posOffset>255905</wp:posOffset>
                </wp:positionV>
                <wp:extent cx="3724275" cy="276225"/>
                <wp:effectExtent l="0" t="0" r="28575" b="28575"/>
                <wp:wrapNone/>
                <wp:docPr id="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76225"/>
                        </a:xfrm>
                        <a:prstGeom prst="rect">
                          <a:avLst/>
                        </a:prstGeom>
                        <a:solidFill>
                          <a:srgbClr val="FFFFFF"/>
                        </a:solidFill>
                        <a:ln w="9525">
                          <a:solidFill>
                            <a:srgbClr val="FFFFFF"/>
                          </a:solidFill>
                          <a:miter lim="800000"/>
                          <a:headEnd/>
                          <a:tailEnd/>
                        </a:ln>
                      </wps:spPr>
                      <wps:txbx>
                        <w:txbxContent>
                          <w:p w:rsidR="005A0B95" w:rsidRDefault="005A0B95" w:rsidP="002C14EE">
                            <w:pPr>
                              <w:jc w:val="center"/>
                            </w:pPr>
                            <w:r>
                              <w:rPr>
                                <w:b/>
                                <w:sz w:val="24"/>
                              </w:rPr>
                              <w:t>СОЦИАЛЬНЫЙ</w:t>
                            </w:r>
                            <w:r w:rsidRPr="002C14EE">
                              <w:rPr>
                                <w:b/>
                                <w:sz w:val="24"/>
                              </w:rPr>
                              <w:t xml:space="preserve"> ПОТЕНЦИАЛ СЭП</w:t>
                            </w:r>
                            <w:r>
                              <w:rPr>
                                <w:b/>
                                <w:sz w:val="24"/>
                              </w:rPr>
                              <w:t xml:space="preserve">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147C0" id="Text Box 301" o:spid="_x0000_s1037" type="#_x0000_t202" style="position:absolute;left:0;text-align:left;margin-left:0;margin-top:20.15pt;width:293.25pt;height:21.75pt;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kiKAIAAFoEAAAOAAAAZHJzL2Uyb0RvYy54bWysVNtu2zAMfR+wfxD0vthxk2Y14hRdugwD&#10;ugvQ7gNkWbaFSaImKbGzrx8lp1m2vRXzgyCJ1CF5Dun17agVOQjnJZiKzmc5JcJwaKTpKvrtaffm&#10;LSU+MNMwBUZU9Cg8vd28frUebCkK6EE1whEEMb4cbEX7EGyZZZ73QjM/AysMGltwmgU8ui5rHBsQ&#10;XausyPPrbADXWAdceI+395ORbhJ+2woevrStF4GoimJuIa0urXVcs82alZ1jtpf8lAZ7QRaaSYNB&#10;z1D3LDCyd/IfKC25Aw9tmHHQGbSt5CLVgNXM87+qeeyZFakWJMfbM03+/8Hyz4evjsimoiiUYRol&#10;ehJjIO9gJFf5PPIzWF+i26NFxzCiAXVOtXr7APy7Jwa2PTOduHMOhl6wBvNLL7OLpxOOjyD18Aka&#10;DMT2ARLQ2DodyUM6CKKjTsezNjEZjpdXq2JRrJaUcLQVq+uiWMbkMlY+v7bOhw8CNImbijrUPqGz&#10;w4MPk+uzSwzmQclmJ5VKB9fVW+XIgWGf7NJ3Qv/DTRkyVPRmibFfCqFlwIZXUiPjefymFoy0vTdN&#10;asfApJr2WJ0yWGTkMVI3kRjGekySzc/61NAckVkHU4PjQOKmB/eTkgGbu6L+x545QYn6aFCdm/li&#10;EachHRbLVYEHd2mpLy3McISqaKBk2m7DNEF762TXY6SpHwzcoaKtTGTHlKesTvljAye5TsMWJ+Ty&#10;nLx+/xI2vwAAAP//AwBQSwMEFAAGAAgAAAAhAEI7lPvcAAAABgEAAA8AAABkcnMvZG93bnJldi54&#10;bWxMj8FOwzAQRO9I/IO1lbggapPSKgrZVFUF4tyWCzc33iZR43USu03K12NOcBzNaOZNvp5sK640&#10;+MYxwvNcgSAunWm4Qvg8vD+lIHzQbHTrmBBu5GFd3N/lOjNu5B1d96ESsYR9phHqELpMSl/WZLWf&#10;u444eic3WB2iHCppBj3GctvKRKmVtLrhuFDrjrY1lef9xSK48e1mHfUqefz6th/bTb87JT3iw2za&#10;vIIINIW/MPziR3QoItPRXdh40SLEIwHhRS1ARHeZrpYgjgjpIgVZ5PI/fvEDAAD//wMAUEsBAi0A&#10;FAAGAAgAAAAhALaDOJL+AAAA4QEAABMAAAAAAAAAAAAAAAAAAAAAAFtDb250ZW50X1R5cGVzXS54&#10;bWxQSwECLQAUAAYACAAAACEAOP0h/9YAAACUAQAACwAAAAAAAAAAAAAAAAAvAQAAX3JlbHMvLnJl&#10;bHNQSwECLQAUAAYACAAAACEA3CaZIigCAABaBAAADgAAAAAAAAAAAAAAAAAuAgAAZHJzL2Uyb0Rv&#10;Yy54bWxQSwECLQAUAAYACAAAACEAQjuU+9wAAAAGAQAADwAAAAAAAAAAAAAAAACCBAAAZHJzL2Rv&#10;d25yZXYueG1sUEsFBgAAAAAEAAQA8wAAAIsFAAAAAA==&#10;" strokecolor="white">
                <v:textbox>
                  <w:txbxContent>
                    <w:p w:rsidR="005A0B95" w:rsidRDefault="005A0B95" w:rsidP="002C14EE">
                      <w:pPr>
                        <w:jc w:val="center"/>
                      </w:pPr>
                      <w:r>
                        <w:rPr>
                          <w:b/>
                          <w:sz w:val="24"/>
                        </w:rPr>
                        <w:t>СОЦИАЛЬНЫЙ</w:t>
                      </w:r>
                      <w:r w:rsidRPr="002C14EE">
                        <w:rPr>
                          <w:b/>
                          <w:sz w:val="24"/>
                        </w:rPr>
                        <w:t xml:space="preserve"> ПОТЕНЦИАЛ СЭП</w:t>
                      </w:r>
                      <w:r>
                        <w:rPr>
                          <w:b/>
                          <w:sz w:val="24"/>
                        </w:rPr>
                        <w:t xml:space="preserve"> РЕГИОНА</w:t>
                      </w:r>
                    </w:p>
                  </w:txbxContent>
                </v:textbox>
                <w10:wrap anchorx="margin"/>
              </v:shape>
            </w:pict>
          </mc:Fallback>
        </mc:AlternateContent>
      </w:r>
      <w:r w:rsidRPr="00BA321C">
        <w:rPr>
          <w:rFonts w:ascii="Times New Roman" w:hAnsi="Times New Roman"/>
          <w:noProof/>
          <w:sz w:val="28"/>
          <w:szCs w:val="28"/>
          <w:lang w:eastAsia="ru-RU"/>
        </w:rPr>
        <mc:AlternateContent>
          <mc:Choice Requires="wps">
            <w:drawing>
              <wp:anchor distT="0" distB="0" distL="114300" distR="114300" simplePos="0" relativeHeight="251784703" behindDoc="0" locked="0" layoutInCell="1" allowOverlap="1" wp14:anchorId="75C9B814" wp14:editId="56A7BE5E">
                <wp:simplePos x="0" y="0"/>
                <wp:positionH relativeFrom="margin">
                  <wp:align>right</wp:align>
                </wp:positionH>
                <wp:positionV relativeFrom="paragraph">
                  <wp:posOffset>189230</wp:posOffset>
                </wp:positionV>
                <wp:extent cx="5867400" cy="1362075"/>
                <wp:effectExtent l="0" t="0" r="19050" b="28575"/>
                <wp:wrapNone/>
                <wp:docPr id="9"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1362075"/>
                        </a:xfrm>
                        <a:prstGeom prst="roundRect">
                          <a:avLst>
                            <a:gd name="adj" fmla="val 16667"/>
                          </a:avLst>
                        </a:prstGeom>
                        <a:solidFill>
                          <a:srgbClr val="FFFFFF"/>
                        </a:solidFill>
                        <a:ln w="9525" cap="flat">
                          <a:solidFill>
                            <a:srgbClr val="00B0F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A7592B" id="AutoShape 300" o:spid="_x0000_s1026" style="position:absolute;margin-left:410.8pt;margin-top:14.9pt;width:462pt;height:107.25pt;z-index:25178470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rSAIAAIYEAAAOAAAAZHJzL2Uyb0RvYy54bWysVNuO0zAQfUfiHyy/s0m6vexGTVdLlyKk&#10;BVYsfMDUdhqDYxvbbdr9esZOWlp4Q/TBmolnzpyZ4+n8bt8qshPOS6MrWlzllAjNDJd6U9FvX1dv&#10;bijxATQHZbSo6EF4erd4/Wre2VKMTGMUF44giPZlZyvahGDLLPOsES34K2OFxsvauBYCum6TcQcd&#10;orcqG+X5NOuM49YZJrzHrw/9JV0k/LoWLHyuay8CURVFbiGdLp3reGaLOZQbB7aRbKAB/8CiBamx&#10;6AnqAQKQrZN/QbWSOeNNHa6YaTNT15KJ1AN2U+R/dPPcgBWpFxyOt6cx+f8Hyz7tnhyRvKK3lGho&#10;UaL7bTCpMrnO04A660uMe7ZPLrbo7aNhPzzRZtmA3oh750zXCOBIq4gDzS4SouMxlay7j4YjPiB+&#10;mtW+dm0ExCmQfZLkcJJE7ANh+HFyM52NkQZheFdcT0f5bJJqQHlMt86H98K0JBoVdWar+RcUPtWA&#10;3aMPSRg+tAf8OyV1q1DmHShSTKfT2YA4BGdQHjFTv0ZJvpJKJcdt1kvlCKZWdJV+Q7I/D1OadDjS&#10;yWiCzAHfda2gJ3QR5s/R8vxtvkoDRwIXYZHNA/imr8rRijWhTK0mK47/nebJDiBVbyOO0oMeUYK4&#10;Fb5cG35AOZzplwGXF43GuBdKOlyEivqfW3CCEvVBo6S3xXgcNyc548lshI47v1mf34BmCFXRQElv&#10;LkO/bVvr5KbBSkXSRZv4zGoZju+lZzWQxceO1sU2nfsp6vffx+IXAAAA//8DAFBLAwQUAAYACAAA&#10;ACEANlUJid0AAAAHAQAADwAAAGRycy9kb3ducmV2LnhtbEyPwU7DMBBE70j8g7VI3KhDiBANcSqE&#10;1IoDHFpKz068xKHxOrLdNv17lhM9zsxq5m21mNwgjhhi70nB/SwDgdR601OnYPu5vHsCEZMmowdP&#10;qOCMERb19VWlS+NPtMbjJnWCSyiWWoFNaSyljK1Fp+PMj0icffvgdGIZOmmCPnG5G2SeZY/S6Z54&#10;weoRXy22+83BKWi+3vfnfhlWP+vtm/+w42rcdTulbm+ml2cQCaf0fwx/+IwONTM1/kAmikEBP5IU&#10;5HPm53SeF2w0bBTFA8i6kpf89S8AAAD//wMAUEsBAi0AFAAGAAgAAAAhALaDOJL+AAAA4QEAABMA&#10;AAAAAAAAAAAAAAAAAAAAAFtDb250ZW50X1R5cGVzXS54bWxQSwECLQAUAAYACAAAACEAOP0h/9YA&#10;AACUAQAACwAAAAAAAAAAAAAAAAAvAQAAX3JlbHMvLnJlbHNQSwECLQAUAAYACAAAACEA0fmta0gC&#10;AACGBAAADgAAAAAAAAAAAAAAAAAuAgAAZHJzL2Uyb0RvYy54bWxQSwECLQAUAAYACAAAACEANlUJ&#10;id0AAAAHAQAADwAAAAAAAAAAAAAAAACiBAAAZHJzL2Rvd25yZXYueG1sUEsFBgAAAAAEAAQA8wAA&#10;AKwFAAAAAA==&#10;" strokecolor="#00b0f0">
                <v:stroke dashstyle="dash"/>
                <w10:wrap anchorx="margin"/>
              </v:roundrect>
            </w:pict>
          </mc:Fallback>
        </mc:AlternateContent>
      </w:r>
    </w:p>
    <w:p w:rsidR="008A0E5D"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5216" behindDoc="0" locked="0" layoutInCell="1" allowOverlap="1" wp14:anchorId="7D547358" wp14:editId="2BD9DF32">
                <wp:simplePos x="0" y="0"/>
                <wp:positionH relativeFrom="margin">
                  <wp:align>center</wp:align>
                </wp:positionH>
                <wp:positionV relativeFrom="paragraph">
                  <wp:posOffset>187325</wp:posOffset>
                </wp:positionV>
                <wp:extent cx="3771900" cy="990600"/>
                <wp:effectExtent l="0" t="0" r="19050" b="19050"/>
                <wp:wrapNone/>
                <wp:docPr id="7"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90600"/>
                        </a:xfrm>
                        <a:prstGeom prst="rect">
                          <a:avLst/>
                        </a:prstGeom>
                        <a:solidFill>
                          <a:srgbClr val="FFFFFF"/>
                        </a:solidFill>
                        <a:ln w="9525">
                          <a:solidFill>
                            <a:srgbClr val="000000"/>
                          </a:solidFill>
                          <a:miter lim="800000"/>
                          <a:headEnd/>
                          <a:tailEnd/>
                        </a:ln>
                      </wps:spPr>
                      <wps:txbx>
                        <w:txbxContent>
                          <w:p w:rsidR="005A0B95" w:rsidRPr="002C14EE" w:rsidRDefault="005A0B95" w:rsidP="002C14EE">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5</w:t>
                            </w:r>
                            <w:r>
                              <w:rPr>
                                <w:rFonts w:ascii="Times New Roman" w:eastAsia="Times New Roman" w:hAnsi="Times New Roman"/>
                                <w:sz w:val="20"/>
                                <w:szCs w:val="20"/>
                                <w:lang w:eastAsia="ru-RU"/>
                              </w:rPr>
                              <w:t xml:space="preserve"> (социально-экологические особенности развития региона)</w:t>
                            </w:r>
                            <w:r w:rsidRPr="002C14EE">
                              <w:rPr>
                                <w:rFonts w:ascii="Times New Roman" w:eastAsia="Times New Roman" w:hAnsi="Times New Roman"/>
                                <w:sz w:val="20"/>
                                <w:szCs w:val="20"/>
                                <w:lang w:eastAsia="ru-RU"/>
                              </w:rPr>
                              <w:t>:</w:t>
                            </w:r>
                          </w:p>
                          <w:p w:rsidR="005A0B95"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Степень экологического благополучия</w:t>
                            </w:r>
                          </w:p>
                          <w:p w:rsidR="005A0B95"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2. Степень развития социального пространства</w:t>
                            </w:r>
                          </w:p>
                          <w:p w:rsidR="005A0B95" w:rsidRPr="002C14EE"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3. Факторы, оценивающие криминогенный характер развития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47358" id="Text Box 299" o:spid="_x0000_s1038" type="#_x0000_t202" style="position:absolute;left:0;text-align:left;margin-left:0;margin-top:14.75pt;width:297pt;height:78pt;z-index:251785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hELQIAAFoEAAAOAAAAZHJzL2Uyb0RvYy54bWysVNtu2zAMfR+wfxD0vtjxkqY24hRdugwD&#10;ugvQ7gNkWbaFyaImKbGzrx8lp2l2exnmB4EUqUPykPT6ZuwVOQjrJOiSzmcpJUJzqKVuS/rlcffq&#10;mhLnma6ZAi1KehSO3mxevlgPphAZdKBqYQmCaFcMpqSd96ZIEsc70TM3AyM0GhuwPfOo2japLRsQ&#10;vVdJlqZXyQC2Nha4cA5v7yYj3UT8phHcf2oaJzxRJcXcfDxtPKtwJps1K1rLTCf5KQ32D1n0TGoM&#10;eoa6Y56RvZW/QfWSW3DQ+BmHPoGmkVzEGrCaefpLNQ8dMyLWguQ4c6bJ/T9Y/vHw2RJZl3RFiWY9&#10;tuhRjJ68gZFkeR74GYwr0O3BoKMf0YB9jrU6cw/8qyMath3Trbi1FoZOsBrzm4eXycXTCccFkGr4&#10;ADUGYnsPEWhsbB/IQzoIomOfjufehGQ4Xr5ereZ5iiaOtjxPr1AOIVjx9NpY598J6EkQSmqx9xGd&#10;He6dn1yfXEIwB0rWO6lUVGxbbZUlB4ZzsovfCf0nN6XJgNGX2XIi4K8Qafz+BNFLjwOvZF/S67MT&#10;KwJtb3WNabLCM6kmGatT+sRjoG4i0Y/VGFs2z0KEQHIF9RGZtTANOC4kCh3Y75QMONwldd/2zApK&#10;1HuN3cnni0XYhqgslqsMFXtpqS4tTHOEKqmnZBK3ftqgvbGy7TDSNA8abrGjjYxkP2d1yh8HOLbr&#10;tGxhQy716PX8S9j8AAAA//8DAFBLAwQUAAYACAAAACEA9b04U94AAAAHAQAADwAAAGRycy9kb3du&#10;cmV2LnhtbEyPwU7DMBBE70j8g7VIXFDrUJqShDgVQgLRG7QIrm68TSLidbDdNPw9ywmOszOaeVuu&#10;J9uLEX3oHCm4nicgkGpnOmoUvO0eZxmIEDUZ3TtCBd8YYF2dn5W6MO5ErzhuYyO4hEKhFbQxDoWU&#10;oW7R6jB3AxJ7B+etjix9I43XJy63vVwkyUpa3REvtHrAhxbrz+3RKsiWz+NH2Ny8vNerQ5/Hq9vx&#10;6csrdXkx3d+BiDjFvzD84jM6VMy0d0cyQfQK+JGoYJGnINhN8yUf9hzL0hRkVcr//NUPAAAA//8D&#10;AFBLAQItABQABgAIAAAAIQC2gziS/gAAAOEBAAATAAAAAAAAAAAAAAAAAAAAAABbQ29udGVudF9U&#10;eXBlc10ueG1sUEsBAi0AFAAGAAgAAAAhADj9If/WAAAAlAEAAAsAAAAAAAAAAAAAAAAALwEAAF9y&#10;ZWxzLy5yZWxzUEsBAi0AFAAGAAgAAAAhAD5k6EQtAgAAWgQAAA4AAAAAAAAAAAAAAAAALgIAAGRy&#10;cy9lMm9Eb2MueG1sUEsBAi0AFAAGAAgAAAAhAPW9OFPeAAAABwEAAA8AAAAAAAAAAAAAAAAAhwQA&#10;AGRycy9kb3ducmV2LnhtbFBLBQYAAAAABAAEAPMAAACSBQAAAAA=&#10;">
                <v:textbox>
                  <w:txbxContent>
                    <w:p w:rsidR="005A0B95" w:rsidRPr="002C14EE" w:rsidRDefault="005A0B95" w:rsidP="002C14EE">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b/>
                          <w:sz w:val="20"/>
                          <w:szCs w:val="20"/>
                          <w:lang w:eastAsia="ru-RU"/>
                        </w:rPr>
                        <w:t>Группа 5</w:t>
                      </w:r>
                      <w:r>
                        <w:rPr>
                          <w:rFonts w:ascii="Times New Roman" w:eastAsia="Times New Roman" w:hAnsi="Times New Roman"/>
                          <w:sz w:val="20"/>
                          <w:szCs w:val="20"/>
                          <w:lang w:eastAsia="ru-RU"/>
                        </w:rPr>
                        <w:t xml:space="preserve"> (социально-экологические особенности развития региона)</w:t>
                      </w:r>
                      <w:r w:rsidRPr="002C14EE">
                        <w:rPr>
                          <w:rFonts w:ascii="Times New Roman" w:eastAsia="Times New Roman" w:hAnsi="Times New Roman"/>
                          <w:sz w:val="20"/>
                          <w:szCs w:val="20"/>
                          <w:lang w:eastAsia="ru-RU"/>
                        </w:rPr>
                        <w:t>:</w:t>
                      </w:r>
                    </w:p>
                    <w:p w:rsidR="005A0B95"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Степень экологического благополучия</w:t>
                      </w:r>
                    </w:p>
                    <w:p w:rsidR="005A0B95"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2. Степень развития социального пространства</w:t>
                      </w:r>
                    </w:p>
                    <w:p w:rsidR="005A0B95" w:rsidRPr="002C14EE"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3. Факторы, оценивающие криминогенный характер развития региона</w:t>
                      </w:r>
                    </w:p>
                  </w:txbxContent>
                </v:textbox>
                <w10:wrap anchorx="margin"/>
              </v:shape>
            </w:pict>
          </mc:Fallback>
        </mc:AlternateContent>
      </w:r>
    </w:p>
    <w:p w:rsidR="008A0E5D" w:rsidRPr="00BA321C" w:rsidRDefault="008A0E5D" w:rsidP="00BA321C">
      <w:pPr>
        <w:shd w:val="clear" w:color="auto" w:fill="FFFFFF" w:themeFill="background1"/>
        <w:spacing w:after="0" w:line="360" w:lineRule="auto"/>
        <w:ind w:firstLine="851"/>
        <w:jc w:val="both"/>
        <w:rPr>
          <w:rFonts w:ascii="Times New Roman" w:hAnsi="Times New Roman"/>
          <w:sz w:val="28"/>
          <w:szCs w:val="28"/>
          <w:lang w:eastAsia="ru-RU"/>
        </w:rPr>
      </w:pPr>
    </w:p>
    <w:p w:rsidR="008A0E5D" w:rsidRPr="00BA321C" w:rsidRDefault="008A0E5D" w:rsidP="00BA321C">
      <w:pPr>
        <w:shd w:val="clear" w:color="auto" w:fill="FFFFFF" w:themeFill="background1"/>
        <w:spacing w:after="0" w:line="360" w:lineRule="auto"/>
        <w:ind w:firstLine="851"/>
        <w:jc w:val="both"/>
        <w:rPr>
          <w:rFonts w:ascii="Times New Roman" w:hAnsi="Times New Roman"/>
          <w:sz w:val="28"/>
          <w:szCs w:val="28"/>
          <w:lang w:eastAsia="ru-RU"/>
        </w:rPr>
      </w:pPr>
    </w:p>
    <w:p w:rsidR="008A0E5D" w:rsidRPr="00BA321C" w:rsidRDefault="008A0E5D" w:rsidP="00BA321C">
      <w:pPr>
        <w:shd w:val="clear" w:color="auto" w:fill="FFFFFF" w:themeFill="background1"/>
        <w:spacing w:after="0" w:line="360" w:lineRule="auto"/>
        <w:ind w:firstLine="851"/>
        <w:jc w:val="both"/>
        <w:rPr>
          <w:rFonts w:ascii="Times New Roman" w:hAnsi="Times New Roman"/>
          <w:sz w:val="28"/>
          <w:szCs w:val="28"/>
          <w:lang w:eastAsia="ru-RU"/>
        </w:rPr>
      </w:pPr>
    </w:p>
    <w:p w:rsidR="008A0E5D"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8288" behindDoc="0" locked="0" layoutInCell="1" allowOverlap="1" wp14:anchorId="4CB17409" wp14:editId="4EBD56BC">
                <wp:simplePos x="0" y="0"/>
                <wp:positionH relativeFrom="margin">
                  <wp:align>center</wp:align>
                </wp:positionH>
                <wp:positionV relativeFrom="paragraph">
                  <wp:posOffset>198755</wp:posOffset>
                </wp:positionV>
                <wp:extent cx="3724275" cy="276225"/>
                <wp:effectExtent l="0" t="0" r="28575" b="28575"/>
                <wp:wrapNone/>
                <wp:docPr id="6"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76225"/>
                        </a:xfrm>
                        <a:prstGeom prst="rect">
                          <a:avLst/>
                        </a:prstGeom>
                        <a:solidFill>
                          <a:srgbClr val="FFFFFF"/>
                        </a:solidFill>
                        <a:ln w="9525">
                          <a:solidFill>
                            <a:srgbClr val="FFFFFF"/>
                          </a:solidFill>
                          <a:miter lim="800000"/>
                          <a:headEnd/>
                          <a:tailEnd/>
                        </a:ln>
                      </wps:spPr>
                      <wps:txbx>
                        <w:txbxContent>
                          <w:p w:rsidR="005A0B95" w:rsidRDefault="005A0B95" w:rsidP="00E95A28">
                            <w:pPr>
                              <w:jc w:val="center"/>
                            </w:pPr>
                            <w:r>
                              <w:rPr>
                                <w:b/>
                                <w:sz w:val="24"/>
                              </w:rPr>
                              <w:t>ИНСТИТУЦИОНАЛЬНЫЙ</w:t>
                            </w:r>
                            <w:r w:rsidRPr="002C14EE">
                              <w:rPr>
                                <w:b/>
                                <w:sz w:val="24"/>
                              </w:rPr>
                              <w:t xml:space="preserve"> ПОТЕНЦИАЛ СЭП</w:t>
                            </w:r>
                            <w:r>
                              <w:rPr>
                                <w:b/>
                                <w:sz w:val="24"/>
                              </w:rPr>
                              <w:t xml:space="preserve"> РЕГИОНА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17409" id="Text Box 304" o:spid="_x0000_s1039" type="#_x0000_t202" style="position:absolute;left:0;text-align:left;margin-left:0;margin-top:15.65pt;width:293.25pt;height:21.75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1gKQIAAFoEAAAOAAAAZHJzL2Uyb0RvYy54bWysVNtu2zAMfR+wfxD0vjhxbq0Rp+jSZRjQ&#10;XYB2HyDLsi1MEjVJid19/Sg5TbPtrZgfBFKkDslD0pubQStyFM5LMCWdTaaUCMOhlqYt6ffH/bsr&#10;SnxgpmYKjCjpk/D0Zvv2zaa3hcihA1ULRxDE+KK3Je1CsEWWed4JzfwErDBobMBpFlB1bVY71iO6&#10;Vlk+na6yHlxtHXDhPd7ejUa6TfhNI3j42jReBKJKirmFdLp0VvHMthtWtI7ZTvJTGuwVWWgmDQY9&#10;Q92xwMjByX+gtOQOPDRhwkFn0DSSi1QDVjOb/lXNQ8esSLUgOd6eafL/D5Z/OX5zRNYlXVFimMYW&#10;PYohkPcwkPl0EfnprS/Q7cGiYxjQgH1OtXp7D/yHJwZ2HTOtuHUO+k6wGvObxZfZxdMRx0eQqv8M&#10;NQZihwAJaGicjuQhHQTRsU9P597EZDheztf5Il8vKeFoy9erPF+mEKx4fm2dDx8FaBKFkjrsfUJn&#10;x3sfYjaseHaJwTwoWe+lUklxbbVTjhwZzsk+fSf0P9yUIX1Jr5cY+7UQWgYceCV1Sa+m8YtxWBFp&#10;+2DqJAcm1ShjysqceIzUjSSGoRpSy2bz+DiSXEH9hMw6GAccFxKFDtwvSnoc7pL6nwfmBCXqk8Hu&#10;XM8Wi7gNSVks1zkq7tJSXVqY4QhV0kDJKO7CuEEH62TbYaRxHgzcYkcbmch+yeqUPw5w6sFp2eKG&#10;XOrJ6+WXsP0NAAD//wMAUEsDBBQABgAIAAAAIQDM+G3A3QAAAAYBAAAPAAAAZHJzL2Rvd25yZXYu&#10;eG1sTI/BbsIwEETvSPyDtZW4oOIQCo3SbBBCrXqG9tKbiZckarxOYkNCv77uqRxHM5p5k21H04gr&#10;9a62jLBcRCCIC6trLhE+P94eExDOK9aqsUwIN3KwzaeTTKXaDnyg69GXIpSwSxVC5X2bSumKioxy&#10;C9sSB+9se6N8kH0pda+GUG4aGUfRRhpVc1ioVEv7iorv48Ug2OH1Zix1UTz/+jHv+113OMcd4uxh&#10;3L2A8DT6/zD84Qd0yAPTyV5YO9EghCMeYbVcgQjuOtmsQZwQnp8SkHkm7/HzXwAAAP//AwBQSwEC&#10;LQAUAAYACAAAACEAtoM4kv4AAADhAQAAEwAAAAAAAAAAAAAAAAAAAAAAW0NvbnRlbnRfVHlwZXNd&#10;LnhtbFBLAQItABQABgAIAAAAIQA4/SH/1gAAAJQBAAALAAAAAAAAAAAAAAAAAC8BAABfcmVscy8u&#10;cmVsc1BLAQItABQABgAIAAAAIQDmKk1gKQIAAFoEAAAOAAAAAAAAAAAAAAAAAC4CAABkcnMvZTJv&#10;RG9jLnhtbFBLAQItABQABgAIAAAAIQDM+G3A3QAAAAYBAAAPAAAAAAAAAAAAAAAAAIMEAABkcnMv&#10;ZG93bnJldi54bWxQSwUGAAAAAAQABADzAAAAjQUAAAAA&#10;" strokecolor="white">
                <v:textbox>
                  <w:txbxContent>
                    <w:p w:rsidR="005A0B95" w:rsidRDefault="005A0B95" w:rsidP="00E95A28">
                      <w:pPr>
                        <w:jc w:val="center"/>
                      </w:pPr>
                      <w:r>
                        <w:rPr>
                          <w:b/>
                          <w:sz w:val="24"/>
                        </w:rPr>
                        <w:t>ИНСТИТУЦИОНАЛЬНЫЙ</w:t>
                      </w:r>
                      <w:r w:rsidRPr="002C14EE">
                        <w:rPr>
                          <w:b/>
                          <w:sz w:val="24"/>
                        </w:rPr>
                        <w:t xml:space="preserve"> ПОТЕНЦИАЛ СЭП</w:t>
                      </w:r>
                      <w:r>
                        <w:rPr>
                          <w:b/>
                          <w:sz w:val="24"/>
                        </w:rPr>
                        <w:t xml:space="preserve"> РЕГИОНА</w:t>
                      </w:r>
                    </w:p>
                  </w:txbxContent>
                </v:textbox>
                <w10:wrap anchorx="margin"/>
              </v:shape>
            </w:pict>
          </mc:Fallback>
        </mc:AlternateContent>
      </w:r>
      <w:r w:rsidRPr="00BA321C">
        <w:rPr>
          <w:rFonts w:ascii="Times New Roman" w:hAnsi="Times New Roman"/>
          <w:noProof/>
          <w:sz w:val="28"/>
          <w:szCs w:val="28"/>
          <w:lang w:eastAsia="ru-RU"/>
        </w:rPr>
        <mc:AlternateContent>
          <mc:Choice Requires="wps">
            <w:drawing>
              <wp:anchor distT="0" distB="0" distL="114300" distR="114300" simplePos="0" relativeHeight="251786751" behindDoc="0" locked="0" layoutInCell="1" allowOverlap="1" wp14:anchorId="50B53F7D" wp14:editId="54518C67">
                <wp:simplePos x="0" y="0"/>
                <wp:positionH relativeFrom="margin">
                  <wp:align>right</wp:align>
                </wp:positionH>
                <wp:positionV relativeFrom="paragraph">
                  <wp:posOffset>118745</wp:posOffset>
                </wp:positionV>
                <wp:extent cx="5846445" cy="1057275"/>
                <wp:effectExtent l="0" t="0" r="20955" b="28575"/>
                <wp:wrapNone/>
                <wp:docPr id="5"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6445" cy="1057275"/>
                        </a:xfrm>
                        <a:prstGeom prst="roundRect">
                          <a:avLst>
                            <a:gd name="adj" fmla="val 16667"/>
                          </a:avLst>
                        </a:prstGeom>
                        <a:solidFill>
                          <a:srgbClr val="FFFFFF"/>
                        </a:solidFill>
                        <a:ln w="9525" cap="flat">
                          <a:solidFill>
                            <a:srgbClr val="2F5496"/>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A38F14" id="AutoShape 303" o:spid="_x0000_s1026" style="position:absolute;margin-left:409.15pt;margin-top:9.35pt;width:460.35pt;height:83.25pt;z-index:2517867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B1PRAIAAIYEAAAOAAAAZHJzL2Uyb0RvYy54bWysVNtu2zAMfR+wfxD0vjpOnbQ16hRFuwwD&#10;dinW7QMYSY61yaImKXG6rx8lu1267WlYHgTSIg8PecRcXh16w/bKB4224eXJjDNlBUpttw3/8nn9&#10;6pyzEMFKMGhVwx9U4Ferly8uB1erOXZopPKMQGyoB9fwLkZXF0UQneohnKBTli5b9D1Ecv22kB4G&#10;Qu9NMZ/NlsWAXjqPQoVAX2/HS77K+G2rRPzYtkFFZhpO3GI+fT436SxWl1BvPbhOi4kG/AOLHrSl&#10;ok9QtxCB7bz+A6rXwmPANp4I7AtsWy1U7oG6KWe/dXPfgVO5FxpOcE9jCv8PVnzY33mmZcMXnFno&#10;SaLrXcRcmZ3OTtOABhdqirt3dz61GNw7FN8Cs3jTgd2qa+9x6BRIolWm+OJZQnICpbLN8B4l4QPh&#10;51kdWt8nQJoCO2RJHp4kUYfIBH1cnFfLqiJugu7K2eJsfrbINaB+THc+xDcKe5aMhnvcWfmJhM81&#10;YP8uxCyMnNoD+ZWztjck8x4MK5fL5dmEOAUXUD9i5n7RaLnWxmTHbzc3xjNKbfg6/6bkcBxmLBsa&#10;frGYJ+ZA77o1MBJ6FhaO0ebrRXWx/BtaYnMLoRurSrJSFNS51Wyl8b+2MtsRtBltasTYSY8kwSjl&#10;BuUDyeFxXAZaXjI69D84G2gRGh6+78ArzsxbS5JelFWVNic7FQlAjj++2RzfgBUE1fDI2WjexHHb&#10;ds7rbUeVyqyLxfTMWh0f38vIaiJLj52sZ9t07OeoX38fq58AAAD//wMAUEsDBBQABgAIAAAAIQBH&#10;PSmr3QAAAAcBAAAPAAAAZHJzL2Rvd25yZXYueG1sTI9BT8MwDIXvSPyHyEjcWEIlYHRNJ4ZASNwY&#10;Y+KYtV5bLXGyJusKvx7vxG72e9bz94r56KwYsI+dJw23EwUCqfJ1R42G1efrzRRETIZqYz2hhh+M&#10;MC8vLwqT1/5IHzgsUyM4hGJuNLQphVzKWLXoTJz4gMTe1vfOJF77Rta9OXK4szJT6l460xF/aE3A&#10;5xar3fLgNFS/6+/dKmRvi5cw7Nf7d7tQ/kvr66vxaQYi4Zj+j+GEz+hQMtPGH6iOwmrgIonV6QMI&#10;dh8zxcPmJNxlIMtCnvOXfwAAAP//AwBQSwECLQAUAAYACAAAACEAtoM4kv4AAADhAQAAEwAAAAAA&#10;AAAAAAAAAAAAAAAAW0NvbnRlbnRfVHlwZXNdLnhtbFBLAQItABQABgAIAAAAIQA4/SH/1gAAAJQB&#10;AAALAAAAAAAAAAAAAAAAAC8BAABfcmVscy8ucmVsc1BLAQItABQABgAIAAAAIQC3tB1PRAIAAIYE&#10;AAAOAAAAAAAAAAAAAAAAAC4CAABkcnMvZTJvRG9jLnhtbFBLAQItABQABgAIAAAAIQBHPSmr3QAA&#10;AAcBAAAPAAAAAAAAAAAAAAAAAJ4EAABkcnMvZG93bnJldi54bWxQSwUGAAAAAAQABADzAAAAqAUA&#10;AAAA&#10;" strokecolor="#2f5496">
                <v:stroke dashstyle="dash"/>
                <w10:wrap anchorx="margin"/>
              </v:roundrect>
            </w:pict>
          </mc:Fallback>
        </mc:AlternateContent>
      </w:r>
    </w:p>
    <w:p w:rsidR="002C14EE" w:rsidRPr="00BA321C" w:rsidRDefault="005A0B95"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noProof/>
          <w:sz w:val="28"/>
          <w:szCs w:val="28"/>
          <w:lang w:eastAsia="ru-RU"/>
        </w:rPr>
        <mc:AlternateContent>
          <mc:Choice Requires="wps">
            <w:drawing>
              <wp:anchor distT="0" distB="0" distL="114300" distR="114300" simplePos="0" relativeHeight="251787264" behindDoc="0" locked="0" layoutInCell="1" allowOverlap="1" wp14:anchorId="6789B00B" wp14:editId="28337EF9">
                <wp:simplePos x="0" y="0"/>
                <wp:positionH relativeFrom="margin">
                  <wp:posOffset>1179830</wp:posOffset>
                </wp:positionH>
                <wp:positionV relativeFrom="paragraph">
                  <wp:posOffset>139700</wp:posOffset>
                </wp:positionV>
                <wp:extent cx="3771900" cy="685800"/>
                <wp:effectExtent l="0" t="0" r="19050" b="19050"/>
                <wp:wrapNone/>
                <wp:docPr id="4"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85800"/>
                        </a:xfrm>
                        <a:prstGeom prst="rect">
                          <a:avLst/>
                        </a:prstGeom>
                        <a:solidFill>
                          <a:srgbClr val="FFFFFF"/>
                        </a:solidFill>
                        <a:ln w="9525">
                          <a:solidFill>
                            <a:srgbClr val="000000"/>
                          </a:solidFill>
                          <a:miter lim="800000"/>
                          <a:headEnd/>
                          <a:tailEnd/>
                        </a:ln>
                      </wps:spPr>
                      <wps:txbx>
                        <w:txbxContent>
                          <w:p w:rsidR="005A0B95" w:rsidRDefault="005A0B95" w:rsidP="002C14EE">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sz w:val="20"/>
                                <w:szCs w:val="20"/>
                                <w:lang w:eastAsia="ru-RU"/>
                              </w:rPr>
                              <w:t xml:space="preserve">Группа 4 (институциональная обеспеченность развития региональных производительных сил): </w:t>
                            </w:r>
                          </w:p>
                          <w:p w:rsidR="005A0B95" w:rsidRPr="002C14EE"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Научно-образовательный потенциал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9B00B" id="Text Box 302" o:spid="_x0000_s1040" type="#_x0000_t202" style="position:absolute;left:0;text-align:left;margin-left:92.9pt;margin-top:11pt;width:297pt;height:54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qYpLgIAAFoEAAAOAAAAZHJzL2Uyb0RvYy54bWysVNtu2zAMfR+wfxD0vthOkyYx4hRdugwD&#10;ugvQ7gNkWbaFyaImKbGzry8lp2l2exmmB4E0qUPykPT6ZugUOQjrJOiCZpOUEqE5VFI3Bf36uHuz&#10;pMR5piumQIuCHoWjN5vXr9a9ycUUWlCVsARBtMt7U9DWe5MnieOt6JibgBEajTXYjnlUbZNUlvWI&#10;3qlkmqbXSQ+2Mha4cA6/3o1Guon4dS24/1zXTniiCoq5+XjbeJfhTjZrljeWmVbyUxrsH7LomNQY&#10;9Ax1xzwjeyt/g+okt+Cg9hMOXQJ1LbmINWA1WfpLNQ8tMyLWguQ4c6bJ/T9Y/unwxRJZFXRGiWYd&#10;tuhRDJ68hYFcpdPAT29cjm4PBh39gAbsc6zVmXvg3xzRsG2ZbsSttdC3glWYXxZeJhdPRxwXQMr+&#10;I1QYiO09RKChtl0gD+kgiI59Op57E5Lh+PFqschWKZo42q6X8yXKIQTLn18b6/x7AR0JQkEt9j6i&#10;s8O986Prs0sI5kDJaieVioptyq2y5MBwTnbxnNB/clOa9AVdzafzkYC/QqTx/Amikx4HXsmuoFgC&#10;nuDE8kDbO11F2TOpRhmrU/rEY6BuJNEP5RBbls3C40ByCdURmbUwDjguJAot2B+U9DjcBXXf98wK&#10;StQHjd1ZZbNZ2IaozOaLKSr20lJeWpjmCFVQT8kobv24QXtjZdNipHEeNNxiR2sZyX7J6pQ/DnBs&#10;12nZwoZc6tHr5ZeweQIAAP//AwBQSwMEFAAGAAgAAAAhAJBaUmDfAAAACgEAAA8AAABkcnMvZG93&#10;bnJldi54bWxMj8FOwzAQRO9I/IO1SFxQa5NCk4Y4FUIC0Ru0CK5u7CYR9jrYbhr+nuUEx9kZzb6p&#10;1pOzbDQh9h4lXM8FMION1z22Et52j7MCWEwKtbIejYRvE2Fdn59VqtT+hK9m3KaWUQnGUknoUhpK&#10;zmPTGafi3A8GyTv44FQiGVqugzpRubM8E2LJneqRPnRqMA+daT63RyehuHkeP+Jm8fLeLA92la7y&#10;8ekrSHl5Md3fAUtmSn9h+MUndKiJae+PqCOzpItbQk8Ssow2USDPV3TYk7MQAnhd8f8T6h8AAAD/&#10;/wMAUEsBAi0AFAAGAAgAAAAhALaDOJL+AAAA4QEAABMAAAAAAAAAAAAAAAAAAAAAAFtDb250ZW50&#10;X1R5cGVzXS54bWxQSwECLQAUAAYACAAAACEAOP0h/9YAAACUAQAACwAAAAAAAAAAAAAAAAAvAQAA&#10;X3JlbHMvLnJlbHNQSwECLQAUAAYACAAAACEAWl6mKS4CAABaBAAADgAAAAAAAAAAAAAAAAAuAgAA&#10;ZHJzL2Uyb0RvYy54bWxQSwECLQAUAAYACAAAACEAkFpSYN8AAAAKAQAADwAAAAAAAAAAAAAAAACI&#10;BAAAZHJzL2Rvd25yZXYueG1sUEsFBgAAAAAEAAQA8wAAAJQFAAAAAA==&#10;">
                <v:textbox>
                  <w:txbxContent>
                    <w:p w:rsidR="005A0B95" w:rsidRDefault="005A0B95" w:rsidP="002C14EE">
                      <w:pPr>
                        <w:spacing w:after="0" w:line="240" w:lineRule="auto"/>
                        <w:rPr>
                          <w:rFonts w:ascii="Times New Roman" w:eastAsia="Times New Roman" w:hAnsi="Times New Roman"/>
                          <w:sz w:val="20"/>
                          <w:szCs w:val="20"/>
                          <w:lang w:eastAsia="ru-RU"/>
                        </w:rPr>
                      </w:pPr>
                      <w:r w:rsidRPr="002C14EE">
                        <w:rPr>
                          <w:rFonts w:ascii="Times New Roman" w:eastAsia="Times New Roman" w:hAnsi="Times New Roman"/>
                          <w:sz w:val="20"/>
                          <w:szCs w:val="20"/>
                          <w:lang w:eastAsia="ru-RU"/>
                        </w:rPr>
                        <w:t xml:space="preserve">Группа 4 (институциональная обеспеченность развития региональных производительных сил): </w:t>
                      </w:r>
                    </w:p>
                    <w:p w:rsidR="005A0B95" w:rsidRPr="002C14EE" w:rsidRDefault="005A0B95" w:rsidP="002C14E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Научно-образовательный потенциал</w:t>
                      </w:r>
                    </w:p>
                  </w:txbxContent>
                </v:textbox>
                <w10:wrap anchorx="margin"/>
              </v:shape>
            </w:pict>
          </mc:Fallback>
        </mc:AlternateContent>
      </w:r>
    </w:p>
    <w:p w:rsidR="002C14EE" w:rsidRPr="00BA321C" w:rsidRDefault="002C14EE" w:rsidP="00BA321C">
      <w:pPr>
        <w:shd w:val="clear" w:color="auto" w:fill="FFFFFF" w:themeFill="background1"/>
        <w:spacing w:after="0" w:line="360" w:lineRule="auto"/>
        <w:ind w:firstLine="851"/>
        <w:jc w:val="both"/>
        <w:rPr>
          <w:rFonts w:ascii="Times New Roman" w:hAnsi="Times New Roman"/>
          <w:sz w:val="28"/>
          <w:szCs w:val="28"/>
          <w:lang w:eastAsia="ru-RU"/>
        </w:rPr>
      </w:pPr>
    </w:p>
    <w:p w:rsidR="002C14EE" w:rsidRPr="00BA321C" w:rsidRDefault="002C14EE" w:rsidP="00BA321C">
      <w:pPr>
        <w:shd w:val="clear" w:color="auto" w:fill="FFFFFF" w:themeFill="background1"/>
        <w:spacing w:after="0" w:line="360" w:lineRule="auto"/>
        <w:ind w:firstLine="851"/>
        <w:jc w:val="both"/>
        <w:rPr>
          <w:rFonts w:ascii="Times New Roman" w:hAnsi="Times New Roman"/>
          <w:sz w:val="28"/>
          <w:szCs w:val="28"/>
          <w:lang w:eastAsia="ru-RU"/>
        </w:rPr>
      </w:pPr>
    </w:p>
    <w:p w:rsidR="00E95A28" w:rsidRPr="00BA321C" w:rsidRDefault="00435A07" w:rsidP="00BA321C">
      <w:pPr>
        <w:shd w:val="clear" w:color="auto" w:fill="FFFFFF" w:themeFill="background1"/>
        <w:spacing w:after="0" w:line="360" w:lineRule="auto"/>
        <w:contextualSpacing/>
        <w:jc w:val="center"/>
        <w:rPr>
          <w:rFonts w:ascii="Times New Roman" w:hAnsi="Times New Roman"/>
          <w:sz w:val="28"/>
          <w:szCs w:val="28"/>
          <w:lang w:eastAsia="ru-RU"/>
        </w:rPr>
      </w:pPr>
      <w:r w:rsidRPr="00BA321C">
        <w:rPr>
          <w:rFonts w:ascii="Times New Roman" w:hAnsi="Times New Roman"/>
          <w:sz w:val="28"/>
          <w:szCs w:val="28"/>
          <w:lang w:eastAsia="ru-RU"/>
        </w:rPr>
        <w:t xml:space="preserve">Рисунок </w:t>
      </w:r>
      <w:r w:rsidR="00701BDC" w:rsidRPr="00BA321C">
        <w:rPr>
          <w:rFonts w:ascii="Times New Roman" w:hAnsi="Times New Roman"/>
          <w:sz w:val="28"/>
          <w:szCs w:val="28"/>
          <w:lang w:eastAsia="ru-RU"/>
        </w:rPr>
        <w:t xml:space="preserve">2.2.2 </w:t>
      </w:r>
      <w:r w:rsidRPr="00BA321C">
        <w:rPr>
          <w:rFonts w:ascii="Times New Roman" w:hAnsi="Times New Roman"/>
          <w:sz w:val="28"/>
          <w:szCs w:val="28"/>
          <w:lang w:eastAsia="ru-RU"/>
        </w:rPr>
        <w:t>- Совокупность факторов, оказывающих влияние на индекс СЭП по направлениям воздействия</w:t>
      </w:r>
    </w:p>
    <w:p w:rsidR="008336E0" w:rsidRPr="00BA321C" w:rsidRDefault="008336E0" w:rsidP="00BA321C">
      <w:pPr>
        <w:shd w:val="clear" w:color="auto" w:fill="FFFFFF" w:themeFill="background1"/>
        <w:spacing w:after="0" w:line="360" w:lineRule="auto"/>
        <w:ind w:firstLine="851"/>
        <w:contextualSpacing/>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Состав показателей, оценивающих значения </w:t>
      </w:r>
      <w:r w:rsidR="008355A3" w:rsidRPr="00BA321C">
        <w:rPr>
          <w:rFonts w:ascii="Times New Roman" w:hAnsi="Times New Roman"/>
          <w:sz w:val="28"/>
          <w:szCs w:val="28"/>
          <w:lang w:eastAsia="ru-RU"/>
        </w:rPr>
        <w:t>укрупненных факторов, оказывающих воздействие на интегральный индекс СЭП представлено в Приложении 1.</w:t>
      </w:r>
      <w:r w:rsidR="00A322F4" w:rsidRPr="00BA321C">
        <w:rPr>
          <w:rFonts w:ascii="Times New Roman" w:hAnsi="Times New Roman"/>
          <w:sz w:val="28"/>
          <w:szCs w:val="28"/>
          <w:lang w:eastAsia="ru-RU"/>
        </w:rPr>
        <w:t xml:space="preserve"> Все используемые для определения значения интегрального индекса СЭП региона индикаторы определяются на основе сугубо количественных показателях, отражаемых в системе государственного статистического учета. Данный подход обеспечивает возможность регулярного мониторинга и оценки изменений, происходящих в региональном развитии, что формирует устойчивые основы системного анализа, определяющего перспективы развития производительных сил на конкретный исторический период времени.</w:t>
      </w:r>
    </w:p>
    <w:p w:rsidR="00C44B74" w:rsidRPr="00BA321C" w:rsidRDefault="0006795E" w:rsidP="00BA321C">
      <w:pPr>
        <w:shd w:val="clear" w:color="auto" w:fill="FFFFFF" w:themeFill="background1"/>
        <w:spacing w:after="0" w:line="360" w:lineRule="auto"/>
        <w:ind w:firstLine="851"/>
        <w:contextualSpacing/>
        <w:jc w:val="both"/>
        <w:rPr>
          <w:rFonts w:ascii="Times New Roman" w:hAnsi="Times New Roman"/>
          <w:sz w:val="28"/>
          <w:szCs w:val="28"/>
          <w:lang w:eastAsia="ru-RU"/>
        </w:rPr>
      </w:pPr>
      <w:r w:rsidRPr="00BA321C">
        <w:rPr>
          <w:rFonts w:ascii="Times New Roman" w:hAnsi="Times New Roman"/>
          <w:sz w:val="28"/>
          <w:szCs w:val="28"/>
          <w:lang w:eastAsia="ru-RU"/>
        </w:rPr>
        <w:t xml:space="preserve">Для получения бально-рейтинговых оценок по каждому блоку факторов используется хорошо известный в теории статистического учета инструментарий. В его основе заложен следующий принцип: по каждому изучаемому и оцениваемому показателю строится шкала диапазона в разрезе всех рассматриваемых регионов (в нашем случае их 14, что соответствует числу регионов Приволжского федерального округа). Далее построенный диапазон разбивается на равные отрезки, к примеру, как это будет осуществлено далее в настоящем исследовании, на 10 равных интервалов, каждый из которых принимает соответствующие значения от 1 до 10. Для определения итогового значения оцениваемого показателя применительно к конкретному региону присваивается соответствующие баллы. Сумма всех полученных баллов, оценивающих конкретную систему показателей составляют бально-рейтинговую оценку фактора. В свою очередь </w:t>
      </w:r>
      <w:r w:rsidR="008E3A8C" w:rsidRPr="00BA321C">
        <w:rPr>
          <w:rFonts w:ascii="Times New Roman" w:hAnsi="Times New Roman"/>
          <w:sz w:val="28"/>
          <w:szCs w:val="28"/>
          <w:lang w:eastAsia="ru-RU"/>
        </w:rPr>
        <w:t xml:space="preserve">«взвешанная» </w:t>
      </w:r>
      <w:r w:rsidRPr="00BA321C">
        <w:rPr>
          <w:rFonts w:ascii="Times New Roman" w:hAnsi="Times New Roman"/>
          <w:sz w:val="28"/>
          <w:szCs w:val="28"/>
          <w:lang w:eastAsia="ru-RU"/>
        </w:rPr>
        <w:t xml:space="preserve">сумма баллов по всем факторам, входящих в состав индекса СЭП и определяют </w:t>
      </w:r>
      <w:r w:rsidR="002F42A2" w:rsidRPr="00BA321C">
        <w:rPr>
          <w:rFonts w:ascii="Times New Roman" w:hAnsi="Times New Roman"/>
          <w:sz w:val="28"/>
          <w:szCs w:val="28"/>
          <w:lang w:eastAsia="ru-RU"/>
        </w:rPr>
        <w:t xml:space="preserve">на основе 10 бальной шкалы. </w:t>
      </w:r>
    </w:p>
    <w:p w:rsidR="0006795E" w:rsidRPr="00BA321C" w:rsidRDefault="0006795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Вся совокупность показателей, отражающих социально-экономическ</w:t>
      </w:r>
      <w:r w:rsidR="008E3A8C" w:rsidRPr="00BA321C">
        <w:rPr>
          <w:rFonts w:ascii="Times New Roman" w:hAnsi="Times New Roman"/>
          <w:sz w:val="28"/>
          <w:szCs w:val="28"/>
        </w:rPr>
        <w:t>ую привлекательность</w:t>
      </w:r>
      <w:r w:rsidRPr="00BA321C">
        <w:rPr>
          <w:rFonts w:ascii="Times New Roman" w:hAnsi="Times New Roman"/>
          <w:sz w:val="28"/>
          <w:szCs w:val="28"/>
        </w:rPr>
        <w:t xml:space="preserve"> регион</w:t>
      </w:r>
      <w:r w:rsidR="008E3A8C" w:rsidRPr="00BA321C">
        <w:rPr>
          <w:rFonts w:ascii="Times New Roman" w:hAnsi="Times New Roman"/>
          <w:sz w:val="28"/>
          <w:szCs w:val="28"/>
        </w:rPr>
        <w:t>а с позиции размещения и развития производительных сил</w:t>
      </w:r>
      <w:r w:rsidRPr="00BA321C">
        <w:rPr>
          <w:rFonts w:ascii="Times New Roman" w:hAnsi="Times New Roman"/>
          <w:sz w:val="28"/>
          <w:szCs w:val="28"/>
        </w:rPr>
        <w:t xml:space="preserve">, подразделяется на две группы: показатели, формирующие положительный и отрицательный вклад в прирост социально-экономического развития. В связи с этим при разработке сводного </w:t>
      </w:r>
      <w:r w:rsidRPr="00BA321C">
        <w:rPr>
          <w:rFonts w:ascii="Times New Roman" w:hAnsi="Times New Roman"/>
          <w:sz w:val="28"/>
          <w:szCs w:val="28"/>
        </w:rPr>
        <w:lastRenderedPageBreak/>
        <w:t>интегрального индекса имеется необходимость учета различий между ними по влиянию на социально-экономическое развитие.</w:t>
      </w:r>
    </w:p>
    <w:p w:rsidR="00E95A28" w:rsidRPr="00BA321C" w:rsidRDefault="00B047D9" w:rsidP="00BA321C">
      <w:pPr>
        <w:shd w:val="clear" w:color="auto" w:fill="FFFFFF" w:themeFill="background1"/>
        <w:spacing w:after="0" w:line="360" w:lineRule="auto"/>
        <w:ind w:firstLine="851"/>
        <w:contextualSpacing/>
        <w:jc w:val="both"/>
        <w:rPr>
          <w:rFonts w:ascii="Times New Roman" w:hAnsi="Times New Roman"/>
          <w:sz w:val="28"/>
          <w:szCs w:val="28"/>
          <w:lang w:eastAsia="ru-RU"/>
        </w:rPr>
      </w:pPr>
      <w:r w:rsidRPr="00BA321C">
        <w:rPr>
          <w:rFonts w:ascii="Times New Roman" w:hAnsi="Times New Roman"/>
          <w:sz w:val="28"/>
          <w:szCs w:val="28"/>
          <w:lang w:eastAsia="ru-RU"/>
        </w:rPr>
        <w:t xml:space="preserve">Следуя логике моделирования индекса СЭП, схематично </w:t>
      </w:r>
      <w:r w:rsidR="008336E0" w:rsidRPr="00BA321C">
        <w:rPr>
          <w:rFonts w:ascii="Times New Roman" w:hAnsi="Times New Roman"/>
          <w:sz w:val="28"/>
          <w:szCs w:val="28"/>
          <w:lang w:eastAsia="ru-RU"/>
        </w:rPr>
        <w:t xml:space="preserve">отраженной на рисунке </w:t>
      </w:r>
      <w:r w:rsidR="00CF09C5" w:rsidRPr="00BA321C">
        <w:rPr>
          <w:rFonts w:ascii="Times New Roman" w:hAnsi="Times New Roman"/>
          <w:sz w:val="28"/>
          <w:szCs w:val="28"/>
          <w:lang w:eastAsia="ru-RU"/>
        </w:rPr>
        <w:t>2.2.</w:t>
      </w:r>
      <w:r w:rsidR="008336E0" w:rsidRPr="00BA321C">
        <w:rPr>
          <w:rFonts w:ascii="Times New Roman" w:hAnsi="Times New Roman"/>
          <w:sz w:val="28"/>
          <w:szCs w:val="28"/>
          <w:lang w:eastAsia="ru-RU"/>
        </w:rPr>
        <w:t>1, этап 3 предполагает определение сводных значений сгруппированных показателей – субиндексов, определяющих значение интегрального показателя социально-экономической привлекательности региона.</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Мы будем понимать под </w:t>
      </w:r>
      <w:r w:rsidR="00B54901" w:rsidRPr="00BA321C">
        <w:rPr>
          <w:rFonts w:ascii="Times New Roman" w:hAnsi="Times New Roman"/>
          <w:sz w:val="28"/>
          <w:szCs w:val="28"/>
        </w:rPr>
        <w:t>интегральным</w:t>
      </w:r>
      <w:r w:rsidRPr="00BA321C">
        <w:rPr>
          <w:rFonts w:ascii="Times New Roman" w:hAnsi="Times New Roman"/>
          <w:sz w:val="28"/>
          <w:szCs w:val="28"/>
        </w:rPr>
        <w:t xml:space="preserve"> индексом </w:t>
      </w:r>
      <w:r w:rsidR="00B54901" w:rsidRPr="00BA321C">
        <w:rPr>
          <w:rFonts w:ascii="Times New Roman" w:hAnsi="Times New Roman"/>
          <w:sz w:val="28"/>
          <w:szCs w:val="28"/>
        </w:rPr>
        <w:t xml:space="preserve">СЭП </w:t>
      </w:r>
      <w:r w:rsidRPr="00BA321C">
        <w:rPr>
          <w:rFonts w:ascii="Times New Roman" w:hAnsi="Times New Roman"/>
          <w:sz w:val="28"/>
          <w:szCs w:val="28"/>
        </w:rPr>
        <w:t>комплексный</w:t>
      </w:r>
      <w:r w:rsidR="00F61E15" w:rsidRPr="00BA321C">
        <w:rPr>
          <w:rFonts w:ascii="Times New Roman" w:hAnsi="Times New Roman"/>
          <w:sz w:val="28"/>
          <w:szCs w:val="28"/>
        </w:rPr>
        <w:t xml:space="preserve"> (интегральный)</w:t>
      </w:r>
      <w:r w:rsidRPr="00BA321C">
        <w:rPr>
          <w:rFonts w:ascii="Times New Roman" w:hAnsi="Times New Roman"/>
          <w:sz w:val="28"/>
          <w:szCs w:val="28"/>
        </w:rPr>
        <w:t xml:space="preserve"> показатель, рассчитываемый на основе комбинации относительных величин ряда статистических показателей</w:t>
      </w:r>
      <w:r w:rsidR="00F61E15" w:rsidRPr="00BA321C">
        <w:rPr>
          <w:rFonts w:ascii="Times New Roman" w:hAnsi="Times New Roman"/>
          <w:sz w:val="28"/>
          <w:szCs w:val="28"/>
        </w:rPr>
        <w:t xml:space="preserve"> (субиндексов)</w:t>
      </w:r>
      <w:r w:rsidRPr="00BA321C">
        <w:rPr>
          <w:rFonts w:ascii="Times New Roman" w:hAnsi="Times New Roman"/>
          <w:sz w:val="28"/>
          <w:szCs w:val="28"/>
        </w:rPr>
        <w:t>. Каждая составляющая в обобщающем индексе должна иметь свой вес.</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Для расчета сводного опережающего индекса необходимо выделить из общей численности составляющих укрупненные компоненты, которые по своей сути являются субиндексами. Согласно общепринятой методологии исчисления обобщенных, или сводных, индексов, если рассчитываемый индикатор </w:t>
      </w:r>
      <w:r w:rsidR="002F42A2" w:rsidRPr="00BA321C">
        <w:rPr>
          <w:rFonts w:ascii="Times New Roman" w:hAnsi="Times New Roman"/>
          <w:sz w:val="28"/>
          <w:szCs w:val="28"/>
        </w:rPr>
        <w:t>содержит более одного показателя</w:t>
      </w:r>
      <w:r w:rsidRPr="00BA321C">
        <w:rPr>
          <w:rFonts w:ascii="Times New Roman" w:hAnsi="Times New Roman"/>
          <w:sz w:val="28"/>
          <w:szCs w:val="28"/>
        </w:rPr>
        <w:t xml:space="preserve">, то он </w:t>
      </w:r>
      <w:r w:rsidR="002F42A2" w:rsidRPr="00BA321C">
        <w:rPr>
          <w:rFonts w:ascii="Times New Roman" w:hAnsi="Times New Roman"/>
          <w:sz w:val="28"/>
          <w:szCs w:val="28"/>
        </w:rPr>
        <w:t xml:space="preserve">рассчитывается как сумма </w:t>
      </w:r>
      <w:r w:rsidRPr="00BA321C">
        <w:rPr>
          <w:rFonts w:ascii="Times New Roman" w:hAnsi="Times New Roman"/>
          <w:sz w:val="28"/>
          <w:szCs w:val="28"/>
        </w:rPr>
        <w:t xml:space="preserve">промежуточных показателей, умноженных на вес: </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object w:dxaOrig="162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36.75pt" o:ole="">
            <v:imagedata r:id="rId17" o:title=""/>
          </v:shape>
          <o:OLEObject Type="Embed" ProgID="Equation.3" ShapeID="_x0000_i1025" DrawAspect="Content" ObjectID="_1540044806" r:id="rId18"/>
        </w:object>
      </w:r>
      <w:r w:rsidRPr="00BA321C">
        <w:rPr>
          <w:rFonts w:ascii="Times New Roman" w:hAnsi="Times New Roman"/>
          <w:sz w:val="28"/>
          <w:szCs w:val="28"/>
        </w:rPr>
        <w:t xml:space="preserve"> ,</w:t>
      </w:r>
      <w:r w:rsidRPr="00BA321C">
        <w:rPr>
          <w:rFonts w:ascii="Times New Roman" w:hAnsi="Times New Roman"/>
          <w:sz w:val="28"/>
          <w:szCs w:val="28"/>
        </w:rPr>
        <w:tab/>
      </w:r>
      <w:r w:rsidRPr="00BA321C">
        <w:rPr>
          <w:rFonts w:ascii="Times New Roman" w:hAnsi="Times New Roman"/>
          <w:sz w:val="28"/>
          <w:szCs w:val="28"/>
        </w:rPr>
        <w:tab/>
      </w:r>
      <w:r w:rsidRPr="00BA321C">
        <w:rPr>
          <w:rFonts w:ascii="Times New Roman" w:hAnsi="Times New Roman"/>
          <w:sz w:val="28"/>
          <w:szCs w:val="28"/>
        </w:rPr>
        <w:tab/>
      </w:r>
      <w:r w:rsidRPr="00BA321C">
        <w:rPr>
          <w:rFonts w:ascii="Times New Roman" w:hAnsi="Times New Roman"/>
          <w:sz w:val="28"/>
          <w:szCs w:val="28"/>
        </w:rPr>
        <w:tab/>
      </w:r>
      <w:r w:rsidRPr="00BA321C">
        <w:rPr>
          <w:rFonts w:ascii="Times New Roman" w:hAnsi="Times New Roman"/>
          <w:sz w:val="28"/>
          <w:szCs w:val="28"/>
        </w:rPr>
        <w:tab/>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где Iki –  значение k-</w:t>
      </w:r>
      <w:r w:rsidR="002F42A2" w:rsidRPr="00BA321C">
        <w:rPr>
          <w:rFonts w:ascii="Times New Roman" w:hAnsi="Times New Roman"/>
          <w:sz w:val="28"/>
          <w:szCs w:val="28"/>
        </w:rPr>
        <w:t>ого</w:t>
      </w:r>
      <w:r w:rsidRPr="00BA321C">
        <w:rPr>
          <w:rFonts w:ascii="Times New Roman" w:hAnsi="Times New Roman"/>
          <w:sz w:val="28"/>
          <w:szCs w:val="28"/>
        </w:rPr>
        <w:t xml:space="preserve"> </w:t>
      </w:r>
      <w:r w:rsidR="002F42A2" w:rsidRPr="00BA321C">
        <w:rPr>
          <w:rFonts w:ascii="Times New Roman" w:hAnsi="Times New Roman"/>
          <w:sz w:val="28"/>
          <w:szCs w:val="28"/>
        </w:rPr>
        <w:t>показателя</w:t>
      </w:r>
      <w:r w:rsidRPr="00BA321C">
        <w:rPr>
          <w:rFonts w:ascii="Times New Roman" w:hAnsi="Times New Roman"/>
          <w:sz w:val="28"/>
          <w:szCs w:val="28"/>
        </w:rPr>
        <w:t xml:space="preserve"> в i-м году,</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Rij  – значение j-о</w:t>
      </w:r>
      <w:r w:rsidR="002F42A2" w:rsidRPr="00BA321C">
        <w:rPr>
          <w:rFonts w:ascii="Times New Roman" w:hAnsi="Times New Roman"/>
          <w:sz w:val="28"/>
          <w:szCs w:val="28"/>
        </w:rPr>
        <w:t>й</w:t>
      </w:r>
      <w:r w:rsidRPr="00BA321C">
        <w:rPr>
          <w:rFonts w:ascii="Times New Roman" w:hAnsi="Times New Roman"/>
          <w:sz w:val="28"/>
          <w:szCs w:val="28"/>
        </w:rPr>
        <w:t xml:space="preserve"> </w:t>
      </w:r>
      <w:r w:rsidR="002F42A2" w:rsidRPr="00BA321C">
        <w:rPr>
          <w:rFonts w:ascii="Times New Roman" w:hAnsi="Times New Roman"/>
          <w:sz w:val="28"/>
          <w:szCs w:val="28"/>
        </w:rPr>
        <w:t>компоненты</w:t>
      </w:r>
      <w:r w:rsidRPr="00BA321C">
        <w:rPr>
          <w:rFonts w:ascii="Times New Roman" w:hAnsi="Times New Roman"/>
          <w:sz w:val="28"/>
          <w:szCs w:val="28"/>
        </w:rPr>
        <w:t xml:space="preserve"> в i-м году,</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Kij  – </w:t>
      </w:r>
      <w:r w:rsidR="002F42A2" w:rsidRPr="00BA321C">
        <w:rPr>
          <w:rFonts w:ascii="Times New Roman" w:hAnsi="Times New Roman"/>
          <w:sz w:val="28"/>
          <w:szCs w:val="28"/>
        </w:rPr>
        <w:t xml:space="preserve">значение </w:t>
      </w:r>
      <w:r w:rsidRPr="00BA321C">
        <w:rPr>
          <w:rFonts w:ascii="Times New Roman" w:hAnsi="Times New Roman"/>
          <w:sz w:val="28"/>
          <w:szCs w:val="28"/>
        </w:rPr>
        <w:t>весово</w:t>
      </w:r>
      <w:r w:rsidR="002F42A2" w:rsidRPr="00BA321C">
        <w:rPr>
          <w:rFonts w:ascii="Times New Roman" w:hAnsi="Times New Roman"/>
          <w:sz w:val="28"/>
          <w:szCs w:val="28"/>
        </w:rPr>
        <w:t>го</w:t>
      </w:r>
      <w:r w:rsidRPr="00BA321C">
        <w:rPr>
          <w:rFonts w:ascii="Times New Roman" w:hAnsi="Times New Roman"/>
          <w:sz w:val="28"/>
          <w:szCs w:val="28"/>
        </w:rPr>
        <w:t xml:space="preserve"> коэффициент</w:t>
      </w:r>
      <w:r w:rsidR="002F42A2" w:rsidRPr="00BA321C">
        <w:rPr>
          <w:rFonts w:ascii="Times New Roman" w:hAnsi="Times New Roman"/>
          <w:sz w:val="28"/>
          <w:szCs w:val="28"/>
        </w:rPr>
        <w:t>а</w:t>
      </w:r>
      <w:r w:rsidRPr="00BA321C">
        <w:rPr>
          <w:rFonts w:ascii="Times New Roman" w:hAnsi="Times New Roman"/>
          <w:sz w:val="28"/>
          <w:szCs w:val="28"/>
        </w:rPr>
        <w:t xml:space="preserve"> j-ого показателя.</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Главное условие, которое должно обязательно выполняться – это равенство суммы весовых коэффициентов единице.</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Выбор индикаторов и входящих в них показателей, применяемых в расчете </w:t>
      </w:r>
      <w:r w:rsidR="00B54901" w:rsidRPr="00BA321C">
        <w:rPr>
          <w:rFonts w:ascii="Times New Roman" w:hAnsi="Times New Roman"/>
          <w:sz w:val="28"/>
          <w:szCs w:val="28"/>
        </w:rPr>
        <w:t>интегрального</w:t>
      </w:r>
      <w:r w:rsidRPr="00BA321C">
        <w:rPr>
          <w:rFonts w:ascii="Times New Roman" w:hAnsi="Times New Roman"/>
          <w:sz w:val="28"/>
          <w:szCs w:val="28"/>
        </w:rPr>
        <w:t xml:space="preserve"> индекса </w:t>
      </w:r>
      <w:r w:rsidR="00B54901" w:rsidRPr="00BA321C">
        <w:rPr>
          <w:rFonts w:ascii="Times New Roman" w:hAnsi="Times New Roman"/>
          <w:sz w:val="28"/>
          <w:szCs w:val="28"/>
        </w:rPr>
        <w:t>СЭП</w:t>
      </w:r>
      <w:r w:rsidRPr="00BA321C">
        <w:rPr>
          <w:rFonts w:ascii="Times New Roman" w:hAnsi="Times New Roman"/>
          <w:sz w:val="28"/>
          <w:szCs w:val="28"/>
        </w:rPr>
        <w:t xml:space="preserve"> может изменяться как во времени, так и по приоритетам деятельности.</w:t>
      </w:r>
    </w:p>
    <w:p w:rsidR="008355A3" w:rsidRPr="00BA321C" w:rsidRDefault="008355A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нашем исследовании состав сводных индикаторов определен представленной выше логикой выбора и включения в модель факторов, имеющих под собой различную институциональн</w:t>
      </w:r>
      <w:r w:rsidR="00317E38" w:rsidRPr="00BA321C">
        <w:rPr>
          <w:rFonts w:ascii="Times New Roman" w:hAnsi="Times New Roman"/>
          <w:sz w:val="28"/>
          <w:szCs w:val="28"/>
        </w:rPr>
        <w:t>о-конъюнктурную</w:t>
      </w:r>
      <w:r w:rsidRPr="00BA321C">
        <w:rPr>
          <w:rFonts w:ascii="Times New Roman" w:hAnsi="Times New Roman"/>
          <w:sz w:val="28"/>
          <w:szCs w:val="28"/>
        </w:rPr>
        <w:t xml:space="preserve"> основу, </w:t>
      </w:r>
      <w:r w:rsidRPr="00BA321C">
        <w:rPr>
          <w:rFonts w:ascii="Times New Roman" w:hAnsi="Times New Roman"/>
          <w:sz w:val="28"/>
          <w:szCs w:val="28"/>
        </w:rPr>
        <w:lastRenderedPageBreak/>
        <w:t xml:space="preserve">но имеющих решающее воздействие на формирование </w:t>
      </w:r>
      <w:r w:rsidR="00317E38" w:rsidRPr="00BA321C">
        <w:rPr>
          <w:rFonts w:ascii="Times New Roman" w:hAnsi="Times New Roman"/>
          <w:sz w:val="28"/>
          <w:szCs w:val="28"/>
        </w:rPr>
        <w:t>социально-экономической привлекательности региона с позиции размещения и развития производительных сил</w:t>
      </w:r>
      <w:r w:rsidRPr="00BA321C">
        <w:rPr>
          <w:rFonts w:ascii="Times New Roman" w:hAnsi="Times New Roman"/>
          <w:sz w:val="28"/>
          <w:szCs w:val="28"/>
        </w:rPr>
        <w:t xml:space="preserve">. </w:t>
      </w:r>
    </w:p>
    <w:p w:rsidR="008355A3" w:rsidRPr="00BA321C" w:rsidRDefault="00317E3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Итак, п</w:t>
      </w:r>
      <w:r w:rsidR="008355A3" w:rsidRPr="00BA321C">
        <w:rPr>
          <w:rFonts w:ascii="Times New Roman" w:hAnsi="Times New Roman"/>
          <w:sz w:val="28"/>
          <w:szCs w:val="28"/>
        </w:rPr>
        <w:t xml:space="preserve">о результатам проведенных </w:t>
      </w:r>
      <w:r w:rsidRPr="00BA321C">
        <w:rPr>
          <w:rFonts w:ascii="Times New Roman" w:hAnsi="Times New Roman"/>
          <w:sz w:val="28"/>
          <w:szCs w:val="28"/>
        </w:rPr>
        <w:t>рассуждений и обоснований</w:t>
      </w:r>
      <w:r w:rsidR="008355A3" w:rsidRPr="00BA321C">
        <w:rPr>
          <w:rFonts w:ascii="Times New Roman" w:hAnsi="Times New Roman"/>
          <w:sz w:val="28"/>
          <w:szCs w:val="28"/>
        </w:rPr>
        <w:t xml:space="preserve"> были определены </w:t>
      </w:r>
      <w:r w:rsidRPr="00BA321C">
        <w:rPr>
          <w:rFonts w:ascii="Times New Roman" w:hAnsi="Times New Roman"/>
          <w:sz w:val="28"/>
          <w:szCs w:val="28"/>
        </w:rPr>
        <w:t>три</w:t>
      </w:r>
      <w:r w:rsidR="008355A3" w:rsidRPr="00BA321C">
        <w:rPr>
          <w:rFonts w:ascii="Times New Roman" w:hAnsi="Times New Roman"/>
          <w:sz w:val="28"/>
          <w:szCs w:val="28"/>
        </w:rPr>
        <w:t xml:space="preserve"> основны</w:t>
      </w:r>
      <w:r w:rsidRPr="00BA321C">
        <w:rPr>
          <w:rFonts w:ascii="Times New Roman" w:hAnsi="Times New Roman"/>
          <w:sz w:val="28"/>
          <w:szCs w:val="28"/>
        </w:rPr>
        <w:t>е</w:t>
      </w:r>
      <w:r w:rsidR="008355A3" w:rsidRPr="00BA321C">
        <w:rPr>
          <w:rFonts w:ascii="Times New Roman" w:hAnsi="Times New Roman"/>
          <w:sz w:val="28"/>
          <w:szCs w:val="28"/>
        </w:rPr>
        <w:t xml:space="preserve"> групп</w:t>
      </w:r>
      <w:r w:rsidRPr="00BA321C">
        <w:rPr>
          <w:rFonts w:ascii="Times New Roman" w:hAnsi="Times New Roman"/>
          <w:sz w:val="28"/>
          <w:szCs w:val="28"/>
        </w:rPr>
        <w:t>ы</w:t>
      </w:r>
      <w:r w:rsidR="008355A3" w:rsidRPr="00BA321C">
        <w:rPr>
          <w:rFonts w:ascii="Times New Roman" w:hAnsi="Times New Roman"/>
          <w:sz w:val="28"/>
          <w:szCs w:val="28"/>
        </w:rPr>
        <w:t xml:space="preserve"> факторов, оказывающих воздействие на </w:t>
      </w:r>
      <w:r w:rsidRPr="00BA321C">
        <w:rPr>
          <w:rFonts w:ascii="Times New Roman" w:hAnsi="Times New Roman"/>
          <w:sz w:val="28"/>
          <w:szCs w:val="28"/>
        </w:rPr>
        <w:t>генерацию динамического ряда, раскрывающего особенности развития социально-экономической привлекательности региона</w:t>
      </w:r>
    </w:p>
    <w:p w:rsidR="008355A3" w:rsidRPr="00BA321C" w:rsidRDefault="008355A3" w:rsidP="00BA321C">
      <w:pPr>
        <w:shd w:val="clear" w:color="auto" w:fill="FFFFFF" w:themeFill="background1"/>
        <w:spacing w:after="0" w:line="360" w:lineRule="auto"/>
        <w:ind w:firstLine="567"/>
        <w:contextualSpacing/>
        <w:jc w:val="both"/>
        <w:rPr>
          <w:rFonts w:ascii="Times New Roman" w:hAnsi="Times New Roman"/>
          <w:sz w:val="28"/>
          <w:szCs w:val="28"/>
        </w:rPr>
      </w:pPr>
      <w:r w:rsidRPr="00BA321C">
        <w:rPr>
          <w:rFonts w:ascii="Times New Roman" w:hAnsi="Times New Roman"/>
          <w:sz w:val="28"/>
          <w:szCs w:val="28"/>
        </w:rPr>
        <w:t xml:space="preserve">Первая группа включила в себя факторы, характеризующие изменения </w:t>
      </w:r>
      <w:r w:rsidR="00317E38" w:rsidRPr="00BA321C">
        <w:rPr>
          <w:rFonts w:ascii="Times New Roman" w:hAnsi="Times New Roman"/>
          <w:sz w:val="28"/>
          <w:szCs w:val="28"/>
        </w:rPr>
        <w:t>экономического</w:t>
      </w:r>
      <w:r w:rsidRPr="00BA321C">
        <w:rPr>
          <w:rFonts w:ascii="Times New Roman" w:hAnsi="Times New Roman"/>
          <w:sz w:val="28"/>
          <w:szCs w:val="28"/>
        </w:rPr>
        <w:t xml:space="preserve"> </w:t>
      </w:r>
      <w:r w:rsidR="00317E38" w:rsidRPr="00BA321C">
        <w:rPr>
          <w:rFonts w:ascii="Times New Roman" w:hAnsi="Times New Roman"/>
          <w:sz w:val="28"/>
          <w:szCs w:val="28"/>
        </w:rPr>
        <w:t>потенциала</w:t>
      </w:r>
      <w:r w:rsidRPr="00BA321C">
        <w:rPr>
          <w:rFonts w:ascii="Times New Roman" w:hAnsi="Times New Roman"/>
          <w:sz w:val="28"/>
          <w:szCs w:val="28"/>
        </w:rPr>
        <w:t xml:space="preserve"> территории и сформировала </w:t>
      </w:r>
      <w:r w:rsidR="00FF401C" w:rsidRPr="00BA321C">
        <w:rPr>
          <w:rFonts w:ascii="Times New Roman" w:hAnsi="Times New Roman"/>
          <w:sz w:val="28"/>
          <w:szCs w:val="28"/>
        </w:rPr>
        <w:t>суб</w:t>
      </w:r>
      <w:r w:rsidRPr="00BA321C">
        <w:rPr>
          <w:rFonts w:ascii="Times New Roman" w:hAnsi="Times New Roman"/>
          <w:sz w:val="28"/>
          <w:szCs w:val="28"/>
        </w:rPr>
        <w:t xml:space="preserve">индекс </w:t>
      </w:r>
      <w:r w:rsidR="00317E38" w:rsidRPr="00BA321C">
        <w:rPr>
          <w:rFonts w:ascii="Times New Roman" w:hAnsi="Times New Roman"/>
          <w:sz w:val="28"/>
          <w:szCs w:val="28"/>
        </w:rPr>
        <w:t>экономического</w:t>
      </w:r>
      <w:r w:rsidR="00F61E15" w:rsidRPr="00BA321C">
        <w:rPr>
          <w:rFonts w:ascii="Times New Roman" w:hAnsi="Times New Roman"/>
          <w:sz w:val="28"/>
          <w:szCs w:val="28"/>
        </w:rPr>
        <w:t xml:space="preserve"> (ресурсно-инфраструктурного)</w:t>
      </w:r>
      <w:r w:rsidRPr="00BA321C">
        <w:rPr>
          <w:rFonts w:ascii="Times New Roman" w:hAnsi="Times New Roman"/>
          <w:sz w:val="28"/>
          <w:szCs w:val="28"/>
        </w:rPr>
        <w:t xml:space="preserve"> развития (I1).</w:t>
      </w:r>
    </w:p>
    <w:p w:rsidR="008355A3" w:rsidRPr="00BA321C" w:rsidRDefault="008355A3" w:rsidP="00BA321C">
      <w:pPr>
        <w:shd w:val="clear" w:color="auto" w:fill="FFFFFF" w:themeFill="background1"/>
        <w:spacing w:after="0" w:line="360" w:lineRule="auto"/>
        <w:ind w:firstLine="567"/>
        <w:contextualSpacing/>
        <w:jc w:val="both"/>
        <w:rPr>
          <w:rFonts w:ascii="Times New Roman" w:hAnsi="Times New Roman"/>
          <w:sz w:val="28"/>
          <w:szCs w:val="28"/>
        </w:rPr>
      </w:pPr>
      <w:r w:rsidRPr="00BA321C">
        <w:rPr>
          <w:rFonts w:ascii="Times New Roman" w:hAnsi="Times New Roman"/>
          <w:sz w:val="28"/>
          <w:szCs w:val="28"/>
        </w:rPr>
        <w:t xml:space="preserve">Вторая группа факторов сформировала так называемый </w:t>
      </w:r>
      <w:r w:rsidR="00FF401C" w:rsidRPr="00BA321C">
        <w:rPr>
          <w:rFonts w:ascii="Times New Roman" w:hAnsi="Times New Roman"/>
          <w:sz w:val="28"/>
          <w:szCs w:val="28"/>
        </w:rPr>
        <w:t>суб</w:t>
      </w:r>
      <w:r w:rsidRPr="00BA321C">
        <w:rPr>
          <w:rFonts w:ascii="Times New Roman" w:hAnsi="Times New Roman"/>
          <w:sz w:val="28"/>
          <w:szCs w:val="28"/>
        </w:rPr>
        <w:t xml:space="preserve">индекс </w:t>
      </w:r>
      <w:r w:rsidR="00317E38" w:rsidRPr="00BA321C">
        <w:rPr>
          <w:rFonts w:ascii="Times New Roman" w:hAnsi="Times New Roman"/>
          <w:sz w:val="28"/>
          <w:szCs w:val="28"/>
        </w:rPr>
        <w:t>социального</w:t>
      </w:r>
      <w:r w:rsidRPr="00BA321C">
        <w:rPr>
          <w:rFonts w:ascii="Times New Roman" w:hAnsi="Times New Roman"/>
          <w:sz w:val="28"/>
          <w:szCs w:val="28"/>
        </w:rPr>
        <w:t xml:space="preserve"> </w:t>
      </w:r>
      <w:r w:rsidR="00317E38" w:rsidRPr="00BA321C">
        <w:rPr>
          <w:rFonts w:ascii="Times New Roman" w:hAnsi="Times New Roman"/>
          <w:sz w:val="28"/>
          <w:szCs w:val="28"/>
        </w:rPr>
        <w:t>потенциала</w:t>
      </w:r>
      <w:r w:rsidRPr="00BA321C">
        <w:rPr>
          <w:rFonts w:ascii="Times New Roman" w:hAnsi="Times New Roman"/>
          <w:sz w:val="28"/>
          <w:szCs w:val="28"/>
        </w:rPr>
        <w:t xml:space="preserve"> (I2).</w:t>
      </w:r>
    </w:p>
    <w:p w:rsidR="00317E38" w:rsidRPr="00BA321C" w:rsidRDefault="008355A3" w:rsidP="00BA321C">
      <w:pPr>
        <w:shd w:val="clear" w:color="auto" w:fill="FFFFFF" w:themeFill="background1"/>
        <w:spacing w:after="0" w:line="360" w:lineRule="auto"/>
        <w:ind w:firstLine="567"/>
        <w:contextualSpacing/>
        <w:jc w:val="both"/>
        <w:rPr>
          <w:rFonts w:ascii="Times New Roman" w:hAnsi="Times New Roman"/>
          <w:sz w:val="28"/>
          <w:szCs w:val="28"/>
        </w:rPr>
      </w:pPr>
      <w:r w:rsidRPr="00BA321C">
        <w:rPr>
          <w:rFonts w:ascii="Times New Roman" w:hAnsi="Times New Roman"/>
          <w:sz w:val="28"/>
          <w:szCs w:val="28"/>
        </w:rPr>
        <w:t>Третья группа факторов ориентирована на определение сводного индекса качества институционально</w:t>
      </w:r>
      <w:r w:rsidR="00317E38" w:rsidRPr="00BA321C">
        <w:rPr>
          <w:rFonts w:ascii="Times New Roman" w:hAnsi="Times New Roman"/>
          <w:sz w:val="28"/>
          <w:szCs w:val="28"/>
        </w:rPr>
        <w:t>го</w:t>
      </w:r>
      <w:r w:rsidRPr="00BA321C">
        <w:rPr>
          <w:rFonts w:ascii="Times New Roman" w:hAnsi="Times New Roman"/>
          <w:sz w:val="28"/>
          <w:szCs w:val="28"/>
        </w:rPr>
        <w:t xml:space="preserve"> развития </w:t>
      </w:r>
      <w:r w:rsidR="00317E38" w:rsidRPr="00BA321C">
        <w:rPr>
          <w:rFonts w:ascii="Times New Roman" w:hAnsi="Times New Roman"/>
          <w:sz w:val="28"/>
          <w:szCs w:val="28"/>
        </w:rPr>
        <w:t xml:space="preserve">региональной </w:t>
      </w:r>
      <w:r w:rsidRPr="00BA321C">
        <w:rPr>
          <w:rFonts w:ascii="Times New Roman" w:hAnsi="Times New Roman"/>
          <w:sz w:val="28"/>
          <w:szCs w:val="28"/>
        </w:rPr>
        <w:t>системы и включает в себя набор соответствующих показателей, к которым можно отнести показатели</w:t>
      </w:r>
      <w:r w:rsidR="00317E38" w:rsidRPr="00BA321C">
        <w:rPr>
          <w:rFonts w:ascii="Times New Roman" w:hAnsi="Times New Roman"/>
          <w:sz w:val="28"/>
          <w:szCs w:val="28"/>
        </w:rPr>
        <w:t>,</w:t>
      </w:r>
      <w:r w:rsidRPr="00BA321C">
        <w:rPr>
          <w:rFonts w:ascii="Times New Roman" w:hAnsi="Times New Roman"/>
          <w:sz w:val="28"/>
          <w:szCs w:val="28"/>
        </w:rPr>
        <w:t xml:space="preserve"> оценивающие уровень </w:t>
      </w:r>
      <w:r w:rsidR="00317E38" w:rsidRPr="00BA321C">
        <w:rPr>
          <w:rFonts w:ascii="Times New Roman" w:hAnsi="Times New Roman"/>
          <w:sz w:val="28"/>
          <w:szCs w:val="28"/>
        </w:rPr>
        <w:t>научно-образовательного развития</w:t>
      </w:r>
      <w:r w:rsidR="00FF401C" w:rsidRPr="00BA321C">
        <w:rPr>
          <w:rFonts w:ascii="Times New Roman" w:hAnsi="Times New Roman"/>
          <w:sz w:val="28"/>
          <w:szCs w:val="28"/>
        </w:rPr>
        <w:t xml:space="preserve"> (</w:t>
      </w:r>
      <w:r w:rsidR="00FF401C" w:rsidRPr="00BA321C">
        <w:rPr>
          <w:rFonts w:ascii="Times New Roman" w:hAnsi="Times New Roman"/>
          <w:sz w:val="28"/>
          <w:szCs w:val="28"/>
          <w:lang w:val="en-US"/>
        </w:rPr>
        <w:t>I</w:t>
      </w:r>
      <w:r w:rsidR="00FF401C" w:rsidRPr="00BA321C">
        <w:rPr>
          <w:rFonts w:ascii="Times New Roman" w:hAnsi="Times New Roman"/>
          <w:sz w:val="28"/>
          <w:szCs w:val="28"/>
        </w:rPr>
        <w:t>3)</w:t>
      </w:r>
      <w:r w:rsidR="00317E38" w:rsidRPr="00BA321C">
        <w:rPr>
          <w:rFonts w:ascii="Times New Roman" w:hAnsi="Times New Roman"/>
          <w:sz w:val="28"/>
          <w:szCs w:val="28"/>
        </w:rPr>
        <w:t>.</w:t>
      </w:r>
    </w:p>
    <w:p w:rsidR="00A322F4" w:rsidRPr="00BA321C" w:rsidRDefault="00E0098A" w:rsidP="00BA321C">
      <w:pPr>
        <w:shd w:val="clear" w:color="auto" w:fill="FFFFFF" w:themeFill="background1"/>
        <w:spacing w:after="0" w:line="360" w:lineRule="auto"/>
        <w:ind w:firstLine="851"/>
        <w:contextualSpacing/>
        <w:jc w:val="both"/>
        <w:rPr>
          <w:rFonts w:ascii="Times New Roman" w:hAnsi="Times New Roman"/>
          <w:sz w:val="28"/>
          <w:szCs w:val="28"/>
        </w:rPr>
      </w:pPr>
      <w:r w:rsidRPr="00BA321C">
        <w:rPr>
          <w:rFonts w:ascii="Times New Roman" w:hAnsi="Times New Roman"/>
          <w:sz w:val="28"/>
          <w:szCs w:val="28"/>
          <w:lang w:eastAsia="ru-RU"/>
        </w:rPr>
        <w:t>Четвертый этап методического подхода определения индекса СЭП включает в себя в</w:t>
      </w:r>
      <w:r w:rsidR="00A322F4" w:rsidRPr="00BA321C">
        <w:rPr>
          <w:rFonts w:ascii="Times New Roman" w:hAnsi="Times New Roman"/>
          <w:sz w:val="28"/>
          <w:szCs w:val="28"/>
        </w:rPr>
        <w:t>ыбор, обоснование и апробаци</w:t>
      </w:r>
      <w:r w:rsidRPr="00BA321C">
        <w:rPr>
          <w:rFonts w:ascii="Times New Roman" w:hAnsi="Times New Roman"/>
          <w:sz w:val="28"/>
          <w:szCs w:val="28"/>
        </w:rPr>
        <w:t>ю</w:t>
      </w:r>
      <w:r w:rsidR="00A322F4" w:rsidRPr="00BA321C">
        <w:rPr>
          <w:rFonts w:ascii="Times New Roman" w:hAnsi="Times New Roman"/>
          <w:sz w:val="28"/>
          <w:szCs w:val="28"/>
        </w:rPr>
        <w:t xml:space="preserve"> методологии определения весовых коэффициентов субъиндексов</w:t>
      </w:r>
      <w:r w:rsidRPr="00BA321C">
        <w:rPr>
          <w:rFonts w:ascii="Times New Roman" w:hAnsi="Times New Roman"/>
          <w:sz w:val="28"/>
          <w:szCs w:val="28"/>
        </w:rPr>
        <w:t>.</w:t>
      </w:r>
    </w:p>
    <w:p w:rsidR="00A322F4" w:rsidRPr="00BA321C" w:rsidRDefault="00A322F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При получении обобщенных статистических индикаторов всегда возникает потребность в выборе соответствующего метода определения значений весовых коэффициентов (Кij). Существует несколько базовых подходов к решению проблемы корректного взвешивания индикаторов - составляющих сводного индекса. Так, значительная часть исследований в этой области предполагает ранжирование составляющих компонент по степени важности, определяемой путем экспертных оценок, получаемых по обучающимся выборкам. Однако необходимо учитывать, что данный подход сопряжен с рядом возможных проблем, связанных, в первую очередь, с принципами отбора экспертных сообществ (единиц), методологией оценки достоверности полученных оценок и т.п. </w:t>
      </w:r>
    </w:p>
    <w:p w:rsidR="00A322F4" w:rsidRPr="00BA321C" w:rsidRDefault="00A322F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Также значения весовых коэффициентов могут быть определены путем решения задачи математического программирования, предполагающей максимизацию критерия линейной свертки при условии равенства суммы весовых коэффициентов единице [17].</w:t>
      </w:r>
    </w:p>
    <w:p w:rsidR="00A322F4" w:rsidRPr="00BA321C" w:rsidRDefault="002F42A2"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Кроме того, определение значений весовых коэффициентов может быть реализовано с использованием инструментов корреляционного анализа, позволяющих определить степень связи между изучаемыми временными рядами. При этом, в контексте настоящего исследования, в качестве одного ряда выбирается конкретный индикатор, а в качестве другого– некий эталонный ряд (к примеру ВВП). </w:t>
      </w:r>
      <w:r w:rsidR="00A322F4" w:rsidRPr="00BA321C">
        <w:rPr>
          <w:rFonts w:ascii="Times New Roman" w:hAnsi="Times New Roman"/>
          <w:sz w:val="28"/>
          <w:szCs w:val="28"/>
        </w:rPr>
        <w:t>Данный методологический подход считается в достаточной степени простым и достоверным.</w:t>
      </w:r>
    </w:p>
    <w:p w:rsidR="00A322F4" w:rsidRPr="00BA321C" w:rsidRDefault="00A322F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Наиболее методологически «продвинутым» методом определения весовых коэффициентов является таксономический метод. Он основан на определении расстояний между точками многомерного пространства, размерность которого определяется количеством участвующих в модели факторов. Расстояния между факторами определяются по формуле:</w:t>
      </w:r>
    </w:p>
    <w:p w:rsidR="00A322F4" w:rsidRPr="00BA321C" w:rsidRDefault="00A322F4" w:rsidP="00BA321C">
      <w:pPr>
        <w:shd w:val="clear" w:color="auto" w:fill="FFFFFF" w:themeFill="background1"/>
        <w:spacing w:after="0" w:line="360" w:lineRule="auto"/>
        <w:ind w:firstLine="851"/>
        <w:jc w:val="both"/>
        <w:rPr>
          <w:rFonts w:ascii="Times New Roman" w:hAnsi="Times New Roman"/>
          <w:sz w:val="28"/>
          <w:szCs w:val="28"/>
        </w:rPr>
      </w:pPr>
    </w:p>
    <w:p w:rsidR="00A322F4" w:rsidRPr="00BA321C" w:rsidRDefault="00A322F4" w:rsidP="00BA321C">
      <w:pPr>
        <w:pStyle w:val="aff4"/>
        <w:shd w:val="clear" w:color="auto" w:fill="FFFFFF" w:themeFill="background1"/>
        <w:tabs>
          <w:tab w:val="right" w:pos="9350"/>
        </w:tabs>
        <w:ind w:firstLine="0"/>
        <w:rPr>
          <w:szCs w:val="28"/>
        </w:rPr>
      </w:pPr>
      <w:r w:rsidRPr="00BA321C">
        <w:rPr>
          <w:position w:val="-28"/>
          <w:szCs w:val="28"/>
        </w:rPr>
        <w:object w:dxaOrig="3080" w:dyaOrig="680">
          <v:shape id="_x0000_i1026" type="#_x0000_t75" style="width:153.75pt;height:33.75pt" o:ole="">
            <v:imagedata r:id="rId19" o:title=""/>
          </v:shape>
          <o:OLEObject Type="Embed" ProgID="Equation.3" ShapeID="_x0000_i1026" DrawAspect="Content" ObjectID="_1540044807" r:id="rId20"/>
        </w:object>
      </w:r>
      <w:r w:rsidRPr="00BA321C">
        <w:rPr>
          <w:szCs w:val="28"/>
        </w:rPr>
        <w:t xml:space="preserve"> </w:t>
      </w:r>
      <w:r w:rsidRPr="00BA321C">
        <w:rPr>
          <w:szCs w:val="28"/>
        </w:rPr>
        <w:tab/>
        <w:t>(1)</w:t>
      </w:r>
    </w:p>
    <w:p w:rsidR="00A322F4" w:rsidRPr="00BA321C" w:rsidRDefault="00A322F4" w:rsidP="00BA321C">
      <w:pPr>
        <w:pStyle w:val="aff4"/>
        <w:shd w:val="clear" w:color="auto" w:fill="FFFFFF" w:themeFill="background1"/>
        <w:tabs>
          <w:tab w:val="right" w:pos="9350"/>
        </w:tabs>
        <w:ind w:firstLine="0"/>
        <w:rPr>
          <w:szCs w:val="28"/>
        </w:rPr>
      </w:pPr>
      <w:r w:rsidRPr="00BA321C">
        <w:rPr>
          <w:szCs w:val="28"/>
        </w:rPr>
        <w:t xml:space="preserve">где </w:t>
      </w:r>
      <w:r w:rsidRPr="00BA321C">
        <w:rPr>
          <w:szCs w:val="28"/>
          <w:lang w:val="en-US"/>
        </w:rPr>
        <w:t>a</w:t>
      </w:r>
      <w:r w:rsidRPr="00BA321C">
        <w:rPr>
          <w:szCs w:val="28"/>
          <w:vertAlign w:val="subscript"/>
          <w:lang w:val="en-US"/>
        </w:rPr>
        <w:t>rs</w:t>
      </w:r>
      <w:r w:rsidRPr="00BA321C">
        <w:rPr>
          <w:szCs w:val="28"/>
        </w:rPr>
        <w:t xml:space="preserve"> - расстояние между факторами </w:t>
      </w:r>
      <w:r w:rsidRPr="00BA321C">
        <w:rPr>
          <w:szCs w:val="28"/>
          <w:lang w:val="en-US"/>
        </w:rPr>
        <w:t>r</w:t>
      </w:r>
      <w:r w:rsidRPr="00BA321C">
        <w:rPr>
          <w:szCs w:val="28"/>
        </w:rPr>
        <w:t xml:space="preserve"> и </w:t>
      </w:r>
      <w:r w:rsidRPr="00BA321C">
        <w:rPr>
          <w:szCs w:val="28"/>
          <w:lang w:val="en-US"/>
        </w:rPr>
        <w:t>s</w:t>
      </w:r>
      <w:r w:rsidRPr="00BA321C">
        <w:rPr>
          <w:szCs w:val="28"/>
        </w:rPr>
        <w:t xml:space="preserve">. </w:t>
      </w:r>
    </w:p>
    <w:p w:rsidR="00A322F4" w:rsidRPr="00BA321C" w:rsidRDefault="00A322F4" w:rsidP="00BA321C">
      <w:pPr>
        <w:pStyle w:val="aff4"/>
        <w:shd w:val="clear" w:color="auto" w:fill="FFFFFF" w:themeFill="background1"/>
        <w:tabs>
          <w:tab w:val="right" w:pos="9350"/>
        </w:tabs>
        <w:ind w:firstLine="851"/>
        <w:rPr>
          <w:szCs w:val="28"/>
        </w:rPr>
      </w:pPr>
      <w:r w:rsidRPr="00BA321C">
        <w:rPr>
          <w:szCs w:val="28"/>
        </w:rPr>
        <w:t>Конечный вид матрицы расстояний между факторами будет иметь следующий вид:</w:t>
      </w:r>
    </w:p>
    <w:p w:rsidR="00A322F4" w:rsidRPr="00BA321C" w:rsidRDefault="00A322F4" w:rsidP="00BA321C">
      <w:pPr>
        <w:pStyle w:val="aff4"/>
        <w:shd w:val="clear" w:color="auto" w:fill="FFFFFF" w:themeFill="background1"/>
        <w:tabs>
          <w:tab w:val="right" w:pos="9350"/>
        </w:tabs>
        <w:ind w:firstLine="0"/>
        <w:rPr>
          <w:szCs w:val="28"/>
        </w:rPr>
      </w:pPr>
      <w:r w:rsidRPr="00BA321C">
        <w:rPr>
          <w:position w:val="-68"/>
          <w:szCs w:val="28"/>
        </w:rPr>
        <w:object w:dxaOrig="2020" w:dyaOrig="1480">
          <v:shape id="_x0000_i1027" type="#_x0000_t75" style="width:101.25pt;height:74.25pt" o:ole="">
            <v:imagedata r:id="rId21" o:title=""/>
          </v:shape>
          <o:OLEObject Type="Embed" ProgID="Equation.3" ShapeID="_x0000_i1027" DrawAspect="Content" ObjectID="_1540044808" r:id="rId22"/>
        </w:object>
      </w:r>
      <w:r w:rsidRPr="00BA321C">
        <w:rPr>
          <w:szCs w:val="28"/>
        </w:rPr>
        <w:t>.</w:t>
      </w:r>
      <w:r w:rsidRPr="00BA321C">
        <w:rPr>
          <w:szCs w:val="28"/>
        </w:rPr>
        <w:tab/>
        <w:t>(2)</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После определения значений матрицы расстояний рассчитывается так называемое критическое расстояние, характеризующее максимальное расстояние между двумя факторами:</w:t>
      </w:r>
    </w:p>
    <w:p w:rsidR="00A322F4" w:rsidRPr="00BA321C" w:rsidRDefault="00A322F4" w:rsidP="00BA321C">
      <w:pPr>
        <w:pStyle w:val="aff4"/>
        <w:shd w:val="clear" w:color="auto" w:fill="FFFFFF" w:themeFill="background1"/>
        <w:tabs>
          <w:tab w:val="right" w:pos="9350"/>
        </w:tabs>
        <w:ind w:firstLine="0"/>
        <w:rPr>
          <w:szCs w:val="28"/>
        </w:rPr>
      </w:pPr>
      <w:r w:rsidRPr="00BA321C">
        <w:rPr>
          <w:position w:val="-20"/>
          <w:szCs w:val="28"/>
        </w:rPr>
        <w:object w:dxaOrig="1920" w:dyaOrig="440">
          <v:shape id="_x0000_i1028" type="#_x0000_t75" style="width:96pt;height:21.75pt" o:ole="">
            <v:imagedata r:id="rId23" o:title=""/>
          </v:shape>
          <o:OLEObject Type="Embed" ProgID="Equation.3" ShapeID="_x0000_i1028" DrawAspect="Content" ObjectID="_1540044809" r:id="rId24"/>
        </w:object>
      </w:r>
      <w:r w:rsidRPr="00BA321C">
        <w:rPr>
          <w:szCs w:val="28"/>
        </w:rPr>
        <w:tab/>
        <w:t>(3)</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lastRenderedPageBreak/>
        <w:t>Далее для каждого признака находят сумму всех расстояний, не превышающих критического расстояния:</w:t>
      </w:r>
    </w:p>
    <w:p w:rsidR="00A322F4" w:rsidRPr="00BA321C" w:rsidRDefault="00A322F4" w:rsidP="00BA321C">
      <w:pPr>
        <w:pStyle w:val="aff4"/>
        <w:shd w:val="clear" w:color="auto" w:fill="FFFFFF" w:themeFill="background1"/>
        <w:tabs>
          <w:tab w:val="right" w:pos="9350"/>
        </w:tabs>
        <w:ind w:firstLine="0"/>
        <w:rPr>
          <w:szCs w:val="28"/>
        </w:rPr>
      </w:pPr>
      <w:r w:rsidRPr="00BA321C">
        <w:rPr>
          <w:position w:val="-28"/>
          <w:szCs w:val="28"/>
        </w:rPr>
        <w:object w:dxaOrig="2840" w:dyaOrig="680">
          <v:shape id="_x0000_i1029" type="#_x0000_t75" style="width:141.75pt;height:33.75pt" o:ole="">
            <v:imagedata r:id="rId25" o:title=""/>
          </v:shape>
          <o:OLEObject Type="Embed" ProgID="Equation.3" ShapeID="_x0000_i1029" DrawAspect="Content" ObjectID="_1540044810" r:id="rId26"/>
        </w:object>
      </w:r>
      <w:r w:rsidRPr="00BA321C">
        <w:rPr>
          <w:szCs w:val="28"/>
        </w:rPr>
        <w:tab/>
        <w:t>(4)</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Тогда весовые коэффициенты рассчитываются по формуле:</w:t>
      </w:r>
    </w:p>
    <w:p w:rsidR="00A322F4" w:rsidRPr="00BA321C" w:rsidRDefault="00A322F4" w:rsidP="00BA321C">
      <w:pPr>
        <w:pStyle w:val="aff4"/>
        <w:shd w:val="clear" w:color="auto" w:fill="FFFFFF" w:themeFill="background1"/>
        <w:tabs>
          <w:tab w:val="right" w:pos="9350"/>
        </w:tabs>
        <w:ind w:firstLine="0"/>
        <w:rPr>
          <w:szCs w:val="28"/>
        </w:rPr>
      </w:pPr>
      <w:r w:rsidRPr="00BA321C">
        <w:rPr>
          <w:position w:val="-50"/>
          <w:szCs w:val="28"/>
        </w:rPr>
        <w:object w:dxaOrig="1180" w:dyaOrig="920">
          <v:shape id="_x0000_i1030" type="#_x0000_t75" style="width:59.25pt;height:45.75pt" o:ole="">
            <v:imagedata r:id="rId27" o:title=""/>
          </v:shape>
          <o:OLEObject Type="Embed" ProgID="Equation.3" ShapeID="_x0000_i1030" DrawAspect="Content" ObjectID="_1540044811" r:id="rId28"/>
        </w:object>
      </w:r>
      <w:r w:rsidRPr="00BA321C">
        <w:rPr>
          <w:szCs w:val="28"/>
        </w:rPr>
        <w:tab/>
        <w:t>(5)</w:t>
      </w:r>
    </w:p>
    <w:p w:rsidR="00A322F4" w:rsidRPr="00BA321C" w:rsidRDefault="00A322F4" w:rsidP="00BA321C">
      <w:pPr>
        <w:pStyle w:val="aff4"/>
        <w:shd w:val="clear" w:color="auto" w:fill="FFFFFF" w:themeFill="background1"/>
        <w:tabs>
          <w:tab w:val="right" w:pos="9350"/>
        </w:tabs>
        <w:ind w:firstLine="567"/>
        <w:rPr>
          <w:szCs w:val="28"/>
        </w:rPr>
      </w:pPr>
    </w:p>
    <w:p w:rsidR="00E0098A" w:rsidRPr="00BA321C" w:rsidRDefault="00E0098A" w:rsidP="00BA321C">
      <w:pPr>
        <w:pStyle w:val="aff4"/>
        <w:shd w:val="clear" w:color="auto" w:fill="FFFFFF" w:themeFill="background1"/>
        <w:tabs>
          <w:tab w:val="right" w:pos="9350"/>
        </w:tabs>
        <w:ind w:firstLine="567"/>
        <w:rPr>
          <w:szCs w:val="28"/>
        </w:rPr>
      </w:pPr>
      <w:r w:rsidRPr="00BA321C">
        <w:rPr>
          <w:szCs w:val="28"/>
        </w:rPr>
        <w:t>Наконец пятый, заключительный этап</w:t>
      </w:r>
      <w:r w:rsidR="003C1BC1" w:rsidRPr="00BA321C">
        <w:rPr>
          <w:szCs w:val="28"/>
        </w:rPr>
        <w:t xml:space="preserve"> моделирования,</w:t>
      </w:r>
      <w:r w:rsidRPr="00BA321C">
        <w:rPr>
          <w:szCs w:val="28"/>
        </w:rPr>
        <w:t xml:space="preserve"> предполагает определение интегральных значений индексов СЭП на основе сложения взвешенных значений рассчитанных субиндексов. </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 xml:space="preserve">В формульном виде расчет </w:t>
      </w:r>
      <w:r w:rsidR="00FF401C" w:rsidRPr="00BA321C">
        <w:rPr>
          <w:szCs w:val="28"/>
        </w:rPr>
        <w:t xml:space="preserve">индекса </w:t>
      </w:r>
      <w:r w:rsidRPr="00BA321C">
        <w:rPr>
          <w:szCs w:val="28"/>
        </w:rPr>
        <w:t>С</w:t>
      </w:r>
      <w:r w:rsidR="00FF401C" w:rsidRPr="00BA321C">
        <w:rPr>
          <w:szCs w:val="28"/>
        </w:rPr>
        <w:t>Э</w:t>
      </w:r>
      <w:r w:rsidRPr="00BA321C">
        <w:rPr>
          <w:szCs w:val="28"/>
        </w:rPr>
        <w:t>П выглядит следующим образом:</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object w:dxaOrig="3960" w:dyaOrig="380">
          <v:shape id="_x0000_i1031" type="#_x0000_t75" style="width:255.75pt;height:24pt" o:ole="">
            <v:imagedata r:id="rId29" o:title=""/>
          </v:shape>
          <o:OLEObject Type="Embed" ProgID="Equation.3" ShapeID="_x0000_i1031" DrawAspect="Content" ObjectID="_1540044812" r:id="rId30"/>
        </w:object>
      </w:r>
      <w:r w:rsidRPr="00BA321C">
        <w:rPr>
          <w:szCs w:val="28"/>
        </w:rPr>
        <w:t xml:space="preserve"> </w:t>
      </w:r>
      <w:r w:rsidRPr="00BA321C">
        <w:rPr>
          <w:szCs w:val="28"/>
        </w:rPr>
        <w:tab/>
        <w:t>(6)</w:t>
      </w:r>
      <w:r w:rsidRPr="00BA321C">
        <w:rPr>
          <w:szCs w:val="28"/>
        </w:rPr>
        <w:tab/>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где Ii -  значение С</w:t>
      </w:r>
      <w:r w:rsidR="003C1BC1" w:rsidRPr="00BA321C">
        <w:rPr>
          <w:szCs w:val="28"/>
        </w:rPr>
        <w:t>Э</w:t>
      </w:r>
      <w:r w:rsidRPr="00BA321C">
        <w:rPr>
          <w:szCs w:val="28"/>
        </w:rPr>
        <w:t>П;</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i – значение периода (год в нашем случае);</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I1(i) –</w:t>
      </w:r>
      <w:r w:rsidR="00FF401C" w:rsidRPr="00BA321C">
        <w:rPr>
          <w:szCs w:val="28"/>
        </w:rPr>
        <w:t xml:space="preserve"> значение субиндекса экономического развития</w:t>
      </w:r>
      <w:r w:rsidRPr="00BA321C">
        <w:rPr>
          <w:szCs w:val="28"/>
        </w:rPr>
        <w:t xml:space="preserve"> в i-м году;</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I2(i) –</w:t>
      </w:r>
      <w:r w:rsidR="00FF401C" w:rsidRPr="00BA321C">
        <w:rPr>
          <w:szCs w:val="28"/>
        </w:rPr>
        <w:t xml:space="preserve"> значение субиндекса социального развития в i-м году;</w:t>
      </w: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I3(i) –</w:t>
      </w:r>
      <w:r w:rsidR="00FF401C" w:rsidRPr="00BA321C">
        <w:rPr>
          <w:szCs w:val="28"/>
        </w:rPr>
        <w:t xml:space="preserve"> значение субиндекса институционального развития в i-м году.</w:t>
      </w:r>
    </w:p>
    <w:p w:rsidR="00A322F4" w:rsidRPr="00BA321C" w:rsidRDefault="00A322F4" w:rsidP="00BA321C">
      <w:pPr>
        <w:pStyle w:val="aff4"/>
        <w:shd w:val="clear" w:color="auto" w:fill="FFFFFF" w:themeFill="background1"/>
        <w:tabs>
          <w:tab w:val="right" w:pos="9350"/>
        </w:tabs>
        <w:ind w:firstLine="567"/>
        <w:rPr>
          <w:szCs w:val="28"/>
        </w:rPr>
      </w:pP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W1, W2, W3</w:t>
      </w:r>
      <w:r w:rsidR="00FF401C" w:rsidRPr="00BA321C">
        <w:rPr>
          <w:szCs w:val="28"/>
        </w:rPr>
        <w:t xml:space="preserve"> </w:t>
      </w:r>
      <w:r w:rsidRPr="00BA321C">
        <w:rPr>
          <w:szCs w:val="28"/>
        </w:rPr>
        <w:t xml:space="preserve">– весовые коэффициенты соответствующих </w:t>
      </w:r>
      <w:r w:rsidR="00FF401C" w:rsidRPr="00BA321C">
        <w:rPr>
          <w:szCs w:val="28"/>
        </w:rPr>
        <w:t>суб</w:t>
      </w:r>
      <w:r w:rsidRPr="00BA321C">
        <w:rPr>
          <w:szCs w:val="28"/>
        </w:rPr>
        <w:t>индексов.</w:t>
      </w:r>
    </w:p>
    <w:p w:rsidR="00A322F4" w:rsidRPr="00BA321C" w:rsidRDefault="00A322F4" w:rsidP="00BA321C">
      <w:pPr>
        <w:pStyle w:val="aff4"/>
        <w:shd w:val="clear" w:color="auto" w:fill="FFFFFF" w:themeFill="background1"/>
        <w:tabs>
          <w:tab w:val="right" w:pos="9350"/>
        </w:tabs>
        <w:ind w:firstLine="567"/>
        <w:rPr>
          <w:szCs w:val="28"/>
        </w:rPr>
      </w:pPr>
    </w:p>
    <w:p w:rsidR="00A322F4" w:rsidRPr="00BA321C" w:rsidRDefault="00A322F4" w:rsidP="00BA321C">
      <w:pPr>
        <w:pStyle w:val="aff4"/>
        <w:shd w:val="clear" w:color="auto" w:fill="FFFFFF" w:themeFill="background1"/>
        <w:tabs>
          <w:tab w:val="right" w:pos="9350"/>
        </w:tabs>
        <w:ind w:firstLine="567"/>
        <w:rPr>
          <w:szCs w:val="28"/>
        </w:rPr>
      </w:pPr>
      <w:r w:rsidRPr="00BA321C">
        <w:rPr>
          <w:szCs w:val="28"/>
        </w:rPr>
        <w:t xml:space="preserve">Реализация данного этапа позволяет получить количественную и графическую интерпретацию </w:t>
      </w:r>
      <w:r w:rsidR="00FF401C" w:rsidRPr="00BA321C">
        <w:rPr>
          <w:szCs w:val="28"/>
        </w:rPr>
        <w:t>динамики развития социально-экономической привлекательности региона с позиции развития на его территории производительных сил</w:t>
      </w:r>
      <w:r w:rsidRPr="00BA321C">
        <w:rPr>
          <w:szCs w:val="28"/>
        </w:rPr>
        <w:t xml:space="preserve">. </w:t>
      </w:r>
    </w:p>
    <w:p w:rsidR="0008776E" w:rsidRPr="00BA321C" w:rsidRDefault="0008776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Разработанный интегральный инде</w:t>
      </w:r>
      <w:r w:rsidR="003C1BC1" w:rsidRPr="00BA321C">
        <w:rPr>
          <w:rFonts w:ascii="Times New Roman" w:hAnsi="Times New Roman"/>
          <w:sz w:val="28"/>
          <w:szCs w:val="28"/>
        </w:rPr>
        <w:t>кс оценки социально-экономической привлекательности</w:t>
      </w:r>
      <w:r w:rsidRPr="00BA321C">
        <w:rPr>
          <w:rFonts w:ascii="Times New Roman" w:hAnsi="Times New Roman"/>
          <w:sz w:val="28"/>
          <w:szCs w:val="28"/>
        </w:rPr>
        <w:t xml:space="preserve"> регионов позволяет в достаточной степени корректно осуществлять ранжирование регионов</w:t>
      </w:r>
      <w:r w:rsidR="0055642A" w:rsidRPr="00BA321C">
        <w:rPr>
          <w:rFonts w:ascii="Times New Roman" w:hAnsi="Times New Roman"/>
          <w:sz w:val="28"/>
          <w:szCs w:val="28"/>
        </w:rPr>
        <w:t xml:space="preserve"> по уровню привлекательности и перспективности размещения и развития </w:t>
      </w:r>
      <w:r w:rsidR="0055642A" w:rsidRPr="00BA321C">
        <w:rPr>
          <w:rFonts w:ascii="Times New Roman" w:hAnsi="Times New Roman"/>
          <w:sz w:val="28"/>
          <w:szCs w:val="28"/>
        </w:rPr>
        <w:lastRenderedPageBreak/>
        <w:t>соответствующих производительных сил</w:t>
      </w:r>
      <w:r w:rsidRPr="00BA321C">
        <w:rPr>
          <w:rFonts w:ascii="Times New Roman" w:hAnsi="Times New Roman"/>
          <w:sz w:val="28"/>
          <w:szCs w:val="28"/>
        </w:rPr>
        <w:t>. При этом данное ранжирование формируется исходя из оценки различных параметров, определяющих социально-экономическое развития регионов.</w:t>
      </w:r>
    </w:p>
    <w:p w:rsidR="00A77E5F" w:rsidRPr="00BA321C" w:rsidRDefault="00A77E5F"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 xml:space="preserve">В соответствии с представленными выше методологическими подходами процесс оценки значений </w:t>
      </w:r>
      <w:r w:rsidR="00E23A04" w:rsidRPr="00BA321C">
        <w:rPr>
          <w:rFonts w:ascii="Times New Roman" w:hAnsi="Times New Roman"/>
          <w:sz w:val="28"/>
          <w:szCs w:val="24"/>
        </w:rPr>
        <w:t>интегральных</w:t>
      </w:r>
      <w:r w:rsidRPr="00BA321C">
        <w:rPr>
          <w:rFonts w:ascii="Times New Roman" w:hAnsi="Times New Roman"/>
          <w:sz w:val="28"/>
          <w:szCs w:val="24"/>
        </w:rPr>
        <w:t xml:space="preserve"> индексов </w:t>
      </w:r>
      <w:r w:rsidR="00B27493" w:rsidRPr="00BA321C">
        <w:rPr>
          <w:rFonts w:ascii="Times New Roman" w:hAnsi="Times New Roman"/>
          <w:sz w:val="28"/>
          <w:szCs w:val="24"/>
        </w:rPr>
        <w:t xml:space="preserve">СЭП </w:t>
      </w:r>
      <w:r w:rsidRPr="00BA321C">
        <w:rPr>
          <w:rFonts w:ascii="Times New Roman" w:hAnsi="Times New Roman"/>
          <w:sz w:val="28"/>
          <w:szCs w:val="24"/>
        </w:rPr>
        <w:t>состоял из следующей последовательности реализуемых мероприятий:</w:t>
      </w:r>
    </w:p>
    <w:p w:rsidR="00A77E5F" w:rsidRPr="00BA321C" w:rsidRDefault="00A77E5F"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 xml:space="preserve">1. Определение значений </w:t>
      </w:r>
      <w:r w:rsidR="00E23A04" w:rsidRPr="00BA321C">
        <w:rPr>
          <w:rFonts w:ascii="Times New Roman" w:hAnsi="Times New Roman"/>
          <w:sz w:val="28"/>
          <w:szCs w:val="24"/>
        </w:rPr>
        <w:t>факторов, определяющих значения соответствующих субиндексов.</w:t>
      </w:r>
    </w:p>
    <w:p w:rsidR="00A77E5F" w:rsidRPr="00BA321C" w:rsidRDefault="00A77E5F"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2. Определение</w:t>
      </w:r>
      <w:r w:rsidR="00E23A04" w:rsidRPr="00BA321C">
        <w:rPr>
          <w:rFonts w:ascii="Times New Roman" w:hAnsi="Times New Roman"/>
          <w:sz w:val="28"/>
          <w:szCs w:val="24"/>
        </w:rPr>
        <w:t xml:space="preserve"> (методом таксономического моделирования)</w:t>
      </w:r>
      <w:r w:rsidRPr="00BA321C">
        <w:rPr>
          <w:rFonts w:ascii="Times New Roman" w:hAnsi="Times New Roman"/>
          <w:sz w:val="28"/>
          <w:szCs w:val="24"/>
        </w:rPr>
        <w:t xml:space="preserve"> весовых коэффициентов факторов, вошедших в группу изучаемого </w:t>
      </w:r>
      <w:r w:rsidR="00E23A04" w:rsidRPr="00BA321C">
        <w:rPr>
          <w:rFonts w:ascii="Times New Roman" w:hAnsi="Times New Roman"/>
          <w:sz w:val="28"/>
          <w:szCs w:val="24"/>
        </w:rPr>
        <w:t>суб</w:t>
      </w:r>
      <w:r w:rsidRPr="00BA321C">
        <w:rPr>
          <w:rFonts w:ascii="Times New Roman" w:hAnsi="Times New Roman"/>
          <w:sz w:val="28"/>
          <w:szCs w:val="24"/>
        </w:rPr>
        <w:t>индекса</w:t>
      </w:r>
      <w:r w:rsidR="00E23A04" w:rsidRPr="00BA321C">
        <w:rPr>
          <w:rFonts w:ascii="Times New Roman" w:hAnsi="Times New Roman"/>
          <w:sz w:val="28"/>
          <w:szCs w:val="24"/>
        </w:rPr>
        <w:t>.</w:t>
      </w:r>
    </w:p>
    <w:p w:rsidR="00E23A04" w:rsidRPr="00BA321C" w:rsidRDefault="00E23A04"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3. Определение (методом таксономического моделирования) весовых коэффициентов субиндексов</w:t>
      </w:r>
      <w:r w:rsidR="00B27493" w:rsidRPr="00BA321C">
        <w:rPr>
          <w:rFonts w:ascii="Times New Roman" w:hAnsi="Times New Roman"/>
          <w:sz w:val="28"/>
          <w:szCs w:val="24"/>
        </w:rPr>
        <w:t>.</w:t>
      </w:r>
    </w:p>
    <w:p w:rsidR="00A77E5F" w:rsidRPr="00BA321C" w:rsidRDefault="00E23A04"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4</w:t>
      </w:r>
      <w:r w:rsidR="00A77E5F" w:rsidRPr="00BA321C">
        <w:rPr>
          <w:rFonts w:ascii="Times New Roman" w:hAnsi="Times New Roman"/>
          <w:sz w:val="28"/>
          <w:szCs w:val="24"/>
        </w:rPr>
        <w:t xml:space="preserve">. Определение </w:t>
      </w:r>
      <w:r w:rsidRPr="00BA321C">
        <w:rPr>
          <w:rFonts w:ascii="Times New Roman" w:hAnsi="Times New Roman"/>
          <w:sz w:val="28"/>
          <w:szCs w:val="24"/>
        </w:rPr>
        <w:t>интегральных</w:t>
      </w:r>
      <w:r w:rsidR="00A77E5F" w:rsidRPr="00BA321C">
        <w:rPr>
          <w:rFonts w:ascii="Times New Roman" w:hAnsi="Times New Roman"/>
          <w:sz w:val="28"/>
          <w:szCs w:val="24"/>
        </w:rPr>
        <w:t xml:space="preserve"> значений индексов.</w:t>
      </w:r>
    </w:p>
    <w:p w:rsidR="00A77E5F" w:rsidRPr="00BA321C" w:rsidRDefault="00A77E5F"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t xml:space="preserve">Результаты расчетов для </w:t>
      </w:r>
      <w:r w:rsidR="00F2400F" w:rsidRPr="00BA321C">
        <w:rPr>
          <w:rFonts w:ascii="Times New Roman" w:hAnsi="Times New Roman"/>
          <w:sz w:val="28"/>
          <w:szCs w:val="24"/>
        </w:rPr>
        <w:t>регионов ПФО</w:t>
      </w:r>
      <w:r w:rsidRPr="00BA321C">
        <w:rPr>
          <w:rFonts w:ascii="Times New Roman" w:hAnsi="Times New Roman"/>
          <w:sz w:val="28"/>
          <w:szCs w:val="24"/>
        </w:rPr>
        <w:t xml:space="preserve"> </w:t>
      </w:r>
      <w:r w:rsidR="00E23A04" w:rsidRPr="00BA321C">
        <w:rPr>
          <w:rFonts w:ascii="Times New Roman" w:hAnsi="Times New Roman"/>
          <w:sz w:val="28"/>
          <w:szCs w:val="24"/>
        </w:rPr>
        <w:t xml:space="preserve">за </w:t>
      </w:r>
      <w:r w:rsidRPr="00BA321C">
        <w:rPr>
          <w:rFonts w:ascii="Times New Roman" w:hAnsi="Times New Roman"/>
          <w:sz w:val="28"/>
          <w:szCs w:val="24"/>
        </w:rPr>
        <w:t xml:space="preserve">период </w:t>
      </w:r>
      <w:r w:rsidR="00F2400F" w:rsidRPr="00BA321C">
        <w:rPr>
          <w:rFonts w:ascii="Times New Roman" w:hAnsi="Times New Roman"/>
          <w:sz w:val="28"/>
          <w:szCs w:val="24"/>
        </w:rPr>
        <w:t>200</w:t>
      </w:r>
      <w:r w:rsidR="00B27493" w:rsidRPr="00BA321C">
        <w:rPr>
          <w:rFonts w:ascii="Times New Roman" w:hAnsi="Times New Roman"/>
          <w:sz w:val="28"/>
          <w:szCs w:val="24"/>
        </w:rPr>
        <w:t>5</w:t>
      </w:r>
      <w:r w:rsidR="003D609E" w:rsidRPr="00BA321C">
        <w:rPr>
          <w:rFonts w:ascii="Times New Roman" w:hAnsi="Times New Roman"/>
          <w:sz w:val="28"/>
          <w:szCs w:val="24"/>
        </w:rPr>
        <w:t xml:space="preserve"> </w:t>
      </w:r>
      <w:r w:rsidRPr="00BA321C">
        <w:rPr>
          <w:rFonts w:ascii="Times New Roman" w:hAnsi="Times New Roman"/>
          <w:sz w:val="28"/>
          <w:szCs w:val="24"/>
        </w:rPr>
        <w:t>-</w:t>
      </w:r>
      <w:r w:rsidR="003D609E" w:rsidRPr="00BA321C">
        <w:rPr>
          <w:rFonts w:ascii="Times New Roman" w:hAnsi="Times New Roman"/>
          <w:sz w:val="28"/>
          <w:szCs w:val="24"/>
        </w:rPr>
        <w:t xml:space="preserve"> </w:t>
      </w:r>
      <w:r w:rsidRPr="00BA321C">
        <w:rPr>
          <w:rFonts w:ascii="Times New Roman" w:hAnsi="Times New Roman"/>
          <w:sz w:val="28"/>
          <w:szCs w:val="24"/>
        </w:rPr>
        <w:t>201</w:t>
      </w:r>
      <w:r w:rsidR="00F2400F" w:rsidRPr="00BA321C">
        <w:rPr>
          <w:rFonts w:ascii="Times New Roman" w:hAnsi="Times New Roman"/>
          <w:sz w:val="28"/>
          <w:szCs w:val="24"/>
        </w:rPr>
        <w:t>4</w:t>
      </w:r>
      <w:r w:rsidRPr="00BA321C">
        <w:rPr>
          <w:rFonts w:ascii="Times New Roman" w:hAnsi="Times New Roman"/>
          <w:sz w:val="28"/>
          <w:szCs w:val="24"/>
        </w:rPr>
        <w:t>гг. представлены в таблице 2</w:t>
      </w:r>
      <w:r w:rsidR="00CF09C5" w:rsidRPr="00BA321C">
        <w:rPr>
          <w:rFonts w:ascii="Times New Roman" w:hAnsi="Times New Roman"/>
          <w:sz w:val="28"/>
          <w:szCs w:val="24"/>
        </w:rPr>
        <w:t>.2.1</w:t>
      </w:r>
      <w:r w:rsidRPr="00BA321C">
        <w:rPr>
          <w:rFonts w:ascii="Times New Roman" w:hAnsi="Times New Roman"/>
          <w:sz w:val="28"/>
          <w:szCs w:val="24"/>
        </w:rPr>
        <w:t xml:space="preserve">, Приложении </w:t>
      </w:r>
      <w:r w:rsidR="00CF09C5" w:rsidRPr="00BA321C">
        <w:rPr>
          <w:rFonts w:ascii="Times New Roman" w:hAnsi="Times New Roman"/>
          <w:sz w:val="28"/>
          <w:szCs w:val="24"/>
        </w:rPr>
        <w:t>2</w:t>
      </w:r>
      <w:r w:rsidRPr="00BA321C">
        <w:rPr>
          <w:rFonts w:ascii="Times New Roman" w:hAnsi="Times New Roman"/>
          <w:sz w:val="28"/>
          <w:szCs w:val="24"/>
        </w:rPr>
        <w:t>.</w:t>
      </w:r>
      <w:r w:rsidR="00F2400F" w:rsidRPr="00BA321C">
        <w:rPr>
          <w:rFonts w:ascii="Times New Roman" w:hAnsi="Times New Roman"/>
          <w:sz w:val="28"/>
          <w:szCs w:val="24"/>
        </w:rPr>
        <w:t xml:space="preserve"> </w:t>
      </w:r>
    </w:p>
    <w:p w:rsidR="00A77E5F" w:rsidRPr="00BA321C" w:rsidRDefault="00A77E5F" w:rsidP="00BA321C">
      <w:pPr>
        <w:shd w:val="clear" w:color="auto" w:fill="FFFFFF" w:themeFill="background1"/>
        <w:spacing w:after="0" w:line="360" w:lineRule="auto"/>
        <w:jc w:val="both"/>
        <w:rPr>
          <w:rFonts w:ascii="Times New Roman" w:hAnsi="Times New Roman"/>
          <w:sz w:val="28"/>
          <w:szCs w:val="24"/>
        </w:rPr>
      </w:pPr>
    </w:p>
    <w:p w:rsidR="00E23A04" w:rsidRPr="00BA321C" w:rsidRDefault="003D609E"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Таблица 2</w:t>
      </w:r>
      <w:r w:rsidR="00CF09C5" w:rsidRPr="00BA321C">
        <w:rPr>
          <w:rFonts w:ascii="Times New Roman" w:hAnsi="Times New Roman"/>
          <w:sz w:val="28"/>
          <w:szCs w:val="28"/>
          <w:lang w:eastAsia="ru-RU"/>
        </w:rPr>
        <w:t>.2.1</w:t>
      </w:r>
      <w:r w:rsidRPr="00BA321C">
        <w:rPr>
          <w:rFonts w:ascii="Times New Roman" w:hAnsi="Times New Roman"/>
          <w:sz w:val="28"/>
          <w:szCs w:val="28"/>
          <w:lang w:eastAsia="ru-RU"/>
        </w:rPr>
        <w:t xml:space="preserve"> - Значения интегрального индекса (в порядке убывания) социально-экономической привлекательности регионов Приволжского федерального округа (индекс СЭП)</w:t>
      </w:r>
    </w:p>
    <w:p w:rsidR="00AE1B5A" w:rsidRPr="00BA321C" w:rsidRDefault="00AE1B5A" w:rsidP="00BA321C">
      <w:pPr>
        <w:shd w:val="clear" w:color="auto" w:fill="FFFFFF" w:themeFill="background1"/>
        <w:spacing w:after="0" w:line="360" w:lineRule="auto"/>
        <w:jc w:val="both"/>
        <w:rPr>
          <w:rFonts w:ascii="Times New Roman" w:hAnsi="Times New Roman"/>
          <w:sz w:val="24"/>
          <w:szCs w:val="24"/>
        </w:rPr>
      </w:pPr>
      <w:r w:rsidRPr="00BA321C">
        <w:rPr>
          <w:rFonts w:ascii="Times New Roman" w:hAnsi="Times New Roman"/>
          <w:noProof/>
          <w:sz w:val="24"/>
          <w:szCs w:val="24"/>
          <w:lang w:eastAsia="ru-RU"/>
        </w:rPr>
        <w:drawing>
          <wp:inline distT="0" distB="0" distL="0" distR="0" wp14:anchorId="2711CC48" wp14:editId="70D69CDA">
            <wp:extent cx="5934075" cy="29813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rsidR="00E23A04" w:rsidRPr="00BA321C" w:rsidRDefault="00E23A04" w:rsidP="00BA321C">
      <w:pPr>
        <w:shd w:val="clear" w:color="auto" w:fill="FFFFFF" w:themeFill="background1"/>
        <w:spacing w:after="0" w:line="240" w:lineRule="auto"/>
        <w:jc w:val="both"/>
        <w:rPr>
          <w:rFonts w:ascii="Times New Roman" w:hAnsi="Times New Roman"/>
          <w:sz w:val="24"/>
          <w:szCs w:val="24"/>
        </w:rPr>
      </w:pPr>
    </w:p>
    <w:p w:rsidR="003D609E" w:rsidRPr="00BA321C" w:rsidRDefault="00A77E5F" w:rsidP="00BA321C">
      <w:pPr>
        <w:shd w:val="clear" w:color="auto" w:fill="FFFFFF" w:themeFill="background1"/>
        <w:spacing w:after="0" w:line="360" w:lineRule="auto"/>
        <w:ind w:firstLine="851"/>
        <w:jc w:val="both"/>
        <w:rPr>
          <w:rFonts w:ascii="Times New Roman" w:hAnsi="Times New Roman"/>
          <w:sz w:val="28"/>
          <w:szCs w:val="24"/>
        </w:rPr>
      </w:pPr>
      <w:r w:rsidRPr="00BA321C">
        <w:rPr>
          <w:rFonts w:ascii="Times New Roman" w:hAnsi="Times New Roman"/>
          <w:sz w:val="28"/>
          <w:szCs w:val="24"/>
        </w:rPr>
        <w:lastRenderedPageBreak/>
        <w:t xml:space="preserve">В таблице </w:t>
      </w:r>
      <w:r w:rsidR="003D609E" w:rsidRPr="00BA321C">
        <w:rPr>
          <w:rFonts w:ascii="Times New Roman" w:hAnsi="Times New Roman"/>
          <w:sz w:val="28"/>
          <w:szCs w:val="24"/>
        </w:rPr>
        <w:t>2</w:t>
      </w:r>
      <w:r w:rsidR="00CF09C5" w:rsidRPr="00BA321C">
        <w:rPr>
          <w:rFonts w:ascii="Times New Roman" w:hAnsi="Times New Roman"/>
          <w:sz w:val="28"/>
          <w:szCs w:val="24"/>
        </w:rPr>
        <w:t>.2.1</w:t>
      </w:r>
      <w:r w:rsidRPr="00BA321C">
        <w:rPr>
          <w:rFonts w:ascii="Times New Roman" w:hAnsi="Times New Roman"/>
          <w:sz w:val="28"/>
          <w:szCs w:val="24"/>
        </w:rPr>
        <w:t xml:space="preserve"> представлены окончательные расчеты полученных значений </w:t>
      </w:r>
      <w:r w:rsidR="003D609E" w:rsidRPr="00BA321C">
        <w:rPr>
          <w:rFonts w:ascii="Times New Roman" w:hAnsi="Times New Roman"/>
          <w:sz w:val="28"/>
          <w:szCs w:val="24"/>
        </w:rPr>
        <w:t xml:space="preserve">интегральных </w:t>
      </w:r>
      <w:r w:rsidRPr="00BA321C">
        <w:rPr>
          <w:rFonts w:ascii="Times New Roman" w:hAnsi="Times New Roman"/>
          <w:sz w:val="28"/>
          <w:szCs w:val="24"/>
        </w:rPr>
        <w:t xml:space="preserve">индексов </w:t>
      </w:r>
      <w:r w:rsidR="003D609E" w:rsidRPr="00BA321C">
        <w:rPr>
          <w:rFonts w:ascii="Times New Roman" w:hAnsi="Times New Roman"/>
          <w:sz w:val="28"/>
          <w:szCs w:val="24"/>
        </w:rPr>
        <w:t>социально-экономической привлекательности регионов ПФО с позиции размещения и развития на их территориях производительных сил</w:t>
      </w:r>
      <w:r w:rsidRPr="00BA321C">
        <w:rPr>
          <w:rFonts w:ascii="Times New Roman" w:hAnsi="Times New Roman"/>
          <w:sz w:val="28"/>
          <w:szCs w:val="24"/>
        </w:rPr>
        <w:t xml:space="preserve">. Вместе с тем анализ и диагностика закономерностей </w:t>
      </w:r>
      <w:r w:rsidR="00440FF8" w:rsidRPr="00BA321C">
        <w:rPr>
          <w:rFonts w:ascii="Times New Roman" w:hAnsi="Times New Roman"/>
          <w:sz w:val="28"/>
          <w:szCs w:val="24"/>
        </w:rPr>
        <w:t xml:space="preserve">корректировок социально-экономической привлекательности региона в контексте изучаемого предмета диссертационного исследования </w:t>
      </w:r>
      <w:r w:rsidRPr="00BA321C">
        <w:rPr>
          <w:rFonts w:ascii="Times New Roman" w:hAnsi="Times New Roman"/>
          <w:sz w:val="28"/>
          <w:szCs w:val="24"/>
        </w:rPr>
        <w:t xml:space="preserve">предполагает реализацию «факторного анализа». Суть которого заключается в исследовании влияния отдельных субиндексов на траекторию развития </w:t>
      </w:r>
      <w:r w:rsidR="003D609E" w:rsidRPr="00BA321C">
        <w:rPr>
          <w:rFonts w:ascii="Times New Roman" w:hAnsi="Times New Roman"/>
          <w:sz w:val="28"/>
          <w:szCs w:val="24"/>
        </w:rPr>
        <w:t>интегрального</w:t>
      </w:r>
      <w:r w:rsidRPr="00BA321C">
        <w:rPr>
          <w:rFonts w:ascii="Times New Roman" w:hAnsi="Times New Roman"/>
          <w:sz w:val="28"/>
          <w:szCs w:val="24"/>
        </w:rPr>
        <w:t xml:space="preserve"> индекса </w:t>
      </w:r>
      <w:r w:rsidR="003D609E" w:rsidRPr="00BA321C">
        <w:rPr>
          <w:rFonts w:ascii="Times New Roman" w:hAnsi="Times New Roman"/>
          <w:sz w:val="28"/>
          <w:szCs w:val="24"/>
        </w:rPr>
        <w:t>СЭП</w:t>
      </w:r>
      <w:r w:rsidRPr="00BA321C">
        <w:rPr>
          <w:rFonts w:ascii="Times New Roman" w:hAnsi="Times New Roman"/>
          <w:sz w:val="28"/>
          <w:szCs w:val="24"/>
        </w:rPr>
        <w:t xml:space="preserve">. </w:t>
      </w:r>
    </w:p>
    <w:p w:rsidR="00426B84" w:rsidRPr="00BA321C" w:rsidRDefault="00426B84"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Динамика значений анализируемых социально-экономических показателей за период 200</w:t>
      </w:r>
      <w:r w:rsidR="003B1A8F" w:rsidRPr="00BA321C">
        <w:rPr>
          <w:rFonts w:ascii="Times New Roman" w:hAnsi="Times New Roman"/>
          <w:sz w:val="28"/>
          <w:szCs w:val="28"/>
          <w:lang w:eastAsia="ru-RU"/>
        </w:rPr>
        <w:t>5</w:t>
      </w:r>
      <w:r w:rsidRPr="00BA321C">
        <w:rPr>
          <w:rFonts w:ascii="Times New Roman" w:hAnsi="Times New Roman"/>
          <w:sz w:val="28"/>
          <w:szCs w:val="28"/>
          <w:lang w:eastAsia="ru-RU"/>
        </w:rPr>
        <w:t>-201</w:t>
      </w:r>
      <w:r w:rsidR="002A3071" w:rsidRPr="00BA321C">
        <w:rPr>
          <w:rFonts w:ascii="Times New Roman" w:hAnsi="Times New Roman"/>
          <w:sz w:val="28"/>
          <w:szCs w:val="28"/>
          <w:lang w:eastAsia="ru-RU"/>
        </w:rPr>
        <w:t>4</w:t>
      </w:r>
      <w:r w:rsidRPr="00BA321C">
        <w:rPr>
          <w:rFonts w:ascii="Times New Roman" w:hAnsi="Times New Roman"/>
          <w:sz w:val="28"/>
          <w:szCs w:val="28"/>
          <w:lang w:eastAsia="ru-RU"/>
        </w:rPr>
        <w:t xml:space="preserve"> годы в явном виде указывает на то, что в Приволжском федеральном округе сформировались две </w:t>
      </w:r>
      <w:r w:rsidR="00B27493" w:rsidRPr="00BA321C">
        <w:rPr>
          <w:rFonts w:ascii="Times New Roman" w:hAnsi="Times New Roman"/>
          <w:sz w:val="28"/>
          <w:szCs w:val="28"/>
          <w:lang w:eastAsia="ru-RU"/>
        </w:rPr>
        <w:t>укрупненны</w:t>
      </w:r>
      <w:r w:rsidR="00CF09C5" w:rsidRPr="00BA321C">
        <w:rPr>
          <w:rFonts w:ascii="Times New Roman" w:hAnsi="Times New Roman"/>
          <w:sz w:val="28"/>
          <w:szCs w:val="28"/>
          <w:lang w:eastAsia="ru-RU"/>
        </w:rPr>
        <w:t xml:space="preserve">е </w:t>
      </w:r>
      <w:r w:rsidRPr="00BA321C">
        <w:rPr>
          <w:rFonts w:ascii="Times New Roman" w:hAnsi="Times New Roman"/>
          <w:sz w:val="28"/>
          <w:szCs w:val="28"/>
          <w:lang w:eastAsia="ru-RU"/>
        </w:rPr>
        <w:t>однородны</w:t>
      </w:r>
      <w:r w:rsidR="00CF09C5" w:rsidRPr="00BA321C">
        <w:rPr>
          <w:rFonts w:ascii="Times New Roman" w:hAnsi="Times New Roman"/>
          <w:sz w:val="28"/>
          <w:szCs w:val="28"/>
          <w:lang w:eastAsia="ru-RU"/>
        </w:rPr>
        <w:t>е</w:t>
      </w:r>
      <w:r w:rsidRPr="00BA321C">
        <w:rPr>
          <w:rFonts w:ascii="Times New Roman" w:hAnsi="Times New Roman"/>
          <w:sz w:val="28"/>
          <w:szCs w:val="28"/>
          <w:lang w:eastAsia="ru-RU"/>
        </w:rPr>
        <w:t xml:space="preserve"> по степени социально-экономической привлекательности группы регионов. В первую группу вошли регионы, значения сводного интегрального индекса социально-экономической привлекательности (индекс СЭП) которых выше 50 баллов. К ним относятся Республика Татарстан, Самарская область, Нижегородская область, Пермский край и Республика Башкортостан. Данная группа регионов характеризуется повышенным уровнем значений факторов, генерирующих высокий уровень конкурентоспособности и повышенную динамику социально-</w:t>
      </w:r>
      <w:r w:rsidR="003B1A8F" w:rsidRPr="00BA321C">
        <w:rPr>
          <w:rFonts w:ascii="Times New Roman" w:hAnsi="Times New Roman"/>
          <w:sz w:val="28"/>
          <w:szCs w:val="28"/>
          <w:lang w:eastAsia="ru-RU"/>
        </w:rPr>
        <w:t>экономической привлекательности для развития производительных сил</w:t>
      </w:r>
      <w:r w:rsidRPr="00BA321C">
        <w:rPr>
          <w:rFonts w:ascii="Times New Roman" w:hAnsi="Times New Roman"/>
          <w:sz w:val="28"/>
          <w:szCs w:val="28"/>
          <w:lang w:eastAsia="ru-RU"/>
        </w:rPr>
        <w:t xml:space="preserve">. </w:t>
      </w:r>
    </w:p>
    <w:p w:rsidR="003B1A8F" w:rsidRPr="00BA321C" w:rsidRDefault="00426B84"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 xml:space="preserve">Ко второй группе регионов были отнесены: </w:t>
      </w:r>
      <w:r w:rsidR="003B1A8F" w:rsidRPr="00BA321C">
        <w:rPr>
          <w:rFonts w:ascii="Times New Roman" w:hAnsi="Times New Roman"/>
          <w:sz w:val="28"/>
          <w:szCs w:val="28"/>
          <w:lang w:eastAsia="ru-RU"/>
        </w:rPr>
        <w:t xml:space="preserve">Саратовская область, </w:t>
      </w:r>
      <w:r w:rsidRPr="00BA321C">
        <w:rPr>
          <w:rFonts w:ascii="Times New Roman" w:hAnsi="Times New Roman"/>
          <w:sz w:val="28"/>
          <w:szCs w:val="28"/>
          <w:lang w:eastAsia="ru-RU"/>
        </w:rPr>
        <w:t xml:space="preserve">Оренбургская область, Пензенская область, Чувашская Республика, Ульяновская область, Удмуртская Республика, Республика Мордовия, Кировская область и Республика Марий Эл. Регионы, вошедшие в рассматриваемую группу, </w:t>
      </w:r>
      <w:r w:rsidR="003B1A8F" w:rsidRPr="00BA321C">
        <w:rPr>
          <w:rFonts w:ascii="Times New Roman" w:hAnsi="Times New Roman"/>
          <w:sz w:val="28"/>
          <w:szCs w:val="28"/>
          <w:lang w:eastAsia="ru-RU"/>
        </w:rPr>
        <w:t xml:space="preserve">нуждаются в интенсификации мер государственной политики, направленных на повышение уровня их индексов социально-экономической привлекательности. Текущие позиции экономического, социального и институционального потенциалов рассматриваемой совокупности регионов не позволяют развиваться с интенсивностью, </w:t>
      </w:r>
      <w:r w:rsidR="003B1A8F" w:rsidRPr="00BA321C">
        <w:rPr>
          <w:rFonts w:ascii="Times New Roman" w:hAnsi="Times New Roman"/>
          <w:sz w:val="28"/>
          <w:szCs w:val="28"/>
          <w:lang w:eastAsia="ru-RU"/>
        </w:rPr>
        <w:lastRenderedPageBreak/>
        <w:t xml:space="preserve">требующейся для формирования конкурентоспособных технологических сдвигов на базе развития производительных сил, соответствующих шестому технологическому укладу. </w:t>
      </w:r>
    </w:p>
    <w:p w:rsidR="0088174A" w:rsidRPr="00BA321C" w:rsidRDefault="005815A1"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 xml:space="preserve">Крайне познавательной формой анализа является оценка значений весовых коэффициентов при субиндексах, определяющих траекторию и динамику </w:t>
      </w:r>
      <w:r w:rsidR="0088174A" w:rsidRPr="00BA321C">
        <w:rPr>
          <w:rFonts w:ascii="Times New Roman" w:hAnsi="Times New Roman"/>
          <w:sz w:val="28"/>
          <w:szCs w:val="28"/>
          <w:lang w:eastAsia="ru-RU"/>
        </w:rPr>
        <w:t xml:space="preserve">региональных индексов социально-экономической привлекательности. </w:t>
      </w:r>
      <w:r w:rsidR="00B27493" w:rsidRPr="00BA321C">
        <w:rPr>
          <w:rFonts w:ascii="Times New Roman" w:hAnsi="Times New Roman"/>
          <w:sz w:val="28"/>
          <w:szCs w:val="28"/>
          <w:lang w:eastAsia="ru-RU"/>
        </w:rPr>
        <w:t>Реализация данного вида работы</w:t>
      </w:r>
      <w:r w:rsidR="0088174A" w:rsidRPr="00BA321C">
        <w:rPr>
          <w:rFonts w:ascii="Times New Roman" w:hAnsi="Times New Roman"/>
          <w:sz w:val="28"/>
          <w:szCs w:val="28"/>
          <w:lang w:eastAsia="ru-RU"/>
        </w:rPr>
        <w:t xml:space="preserve"> позволяет сформировать представление и понимание относительного того, какие факторы и в какой степени формируют базовые основы сдвигов региональных индексов СЭП. В обобщенном виде, в рамках исследуемого периода времени, результаты </w:t>
      </w:r>
      <w:r w:rsidR="00B27493" w:rsidRPr="00BA321C">
        <w:rPr>
          <w:rFonts w:ascii="Times New Roman" w:hAnsi="Times New Roman"/>
          <w:sz w:val="28"/>
          <w:szCs w:val="28"/>
          <w:lang w:eastAsia="ru-RU"/>
        </w:rPr>
        <w:t>подобного</w:t>
      </w:r>
      <w:r w:rsidR="0088174A" w:rsidRPr="00BA321C">
        <w:rPr>
          <w:rFonts w:ascii="Times New Roman" w:hAnsi="Times New Roman"/>
          <w:sz w:val="28"/>
          <w:szCs w:val="28"/>
          <w:lang w:eastAsia="ru-RU"/>
        </w:rPr>
        <w:t xml:space="preserve"> анализа представлены в таблице </w:t>
      </w:r>
      <w:r w:rsidR="00CF09C5" w:rsidRPr="00BA321C">
        <w:rPr>
          <w:rFonts w:ascii="Times New Roman" w:hAnsi="Times New Roman"/>
          <w:sz w:val="28"/>
          <w:szCs w:val="28"/>
          <w:lang w:eastAsia="ru-RU"/>
        </w:rPr>
        <w:t>2.2.2</w:t>
      </w:r>
      <w:r w:rsidR="0088174A" w:rsidRPr="00BA321C">
        <w:rPr>
          <w:rFonts w:ascii="Times New Roman" w:hAnsi="Times New Roman"/>
          <w:sz w:val="28"/>
          <w:szCs w:val="28"/>
          <w:lang w:eastAsia="ru-RU"/>
        </w:rPr>
        <w:t>.</w:t>
      </w:r>
    </w:p>
    <w:p w:rsidR="0088174A" w:rsidRPr="00BA321C" w:rsidRDefault="0088174A" w:rsidP="00BA321C">
      <w:pPr>
        <w:shd w:val="clear" w:color="auto" w:fill="FFFFFF" w:themeFill="background1"/>
        <w:spacing w:after="0" w:line="360" w:lineRule="auto"/>
        <w:ind w:firstLine="567"/>
        <w:jc w:val="both"/>
        <w:rPr>
          <w:rFonts w:ascii="Times New Roman" w:hAnsi="Times New Roman"/>
          <w:sz w:val="28"/>
          <w:szCs w:val="28"/>
          <w:lang w:eastAsia="ru-RU"/>
        </w:rPr>
      </w:pPr>
    </w:p>
    <w:p w:rsidR="0088174A" w:rsidRPr="00BA321C" w:rsidRDefault="0088174A"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 xml:space="preserve">Таблица </w:t>
      </w:r>
      <w:r w:rsidR="00CF09C5" w:rsidRPr="00BA321C">
        <w:rPr>
          <w:rFonts w:ascii="Times New Roman" w:hAnsi="Times New Roman"/>
          <w:sz w:val="28"/>
          <w:szCs w:val="28"/>
          <w:lang w:eastAsia="ru-RU"/>
        </w:rPr>
        <w:t>2.2.2</w:t>
      </w:r>
      <w:r w:rsidRPr="00BA321C">
        <w:rPr>
          <w:rFonts w:ascii="Times New Roman" w:hAnsi="Times New Roman"/>
          <w:sz w:val="28"/>
          <w:szCs w:val="28"/>
          <w:lang w:eastAsia="ru-RU"/>
        </w:rPr>
        <w:t xml:space="preserve"> – Значения весовых коэффициентов субиндексов интегрального индекса СЭП</w:t>
      </w:r>
    </w:p>
    <w:tbl>
      <w:tblPr>
        <w:tblW w:w="9506" w:type="dxa"/>
        <w:tblInd w:w="108" w:type="dxa"/>
        <w:tblLook w:val="04A0" w:firstRow="1" w:lastRow="0" w:firstColumn="1" w:lastColumn="0" w:noHBand="0" w:noVBand="1"/>
      </w:tblPr>
      <w:tblGrid>
        <w:gridCol w:w="709"/>
        <w:gridCol w:w="2876"/>
        <w:gridCol w:w="1874"/>
        <w:gridCol w:w="1701"/>
        <w:gridCol w:w="2346"/>
      </w:tblGrid>
      <w:tr w:rsidR="00CF6DA1" w:rsidRPr="00BA321C" w:rsidTr="005B6603">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6603" w:rsidRPr="00BA321C" w:rsidRDefault="005B6603"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w:t>
            </w:r>
          </w:p>
        </w:tc>
        <w:tc>
          <w:tcPr>
            <w:tcW w:w="2876" w:type="dxa"/>
            <w:tcBorders>
              <w:top w:val="single" w:sz="4" w:space="0" w:color="auto"/>
              <w:left w:val="nil"/>
              <w:bottom w:val="single" w:sz="4" w:space="0" w:color="auto"/>
              <w:right w:val="single" w:sz="4" w:space="0" w:color="auto"/>
            </w:tcBorders>
            <w:shd w:val="clear" w:color="auto" w:fill="auto"/>
            <w:noWrap/>
            <w:vAlign w:val="center"/>
            <w:hideMark/>
          </w:tcPr>
          <w:p w:rsidR="005B6603" w:rsidRPr="00BA321C" w:rsidRDefault="005B6603"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Регион</w:t>
            </w:r>
          </w:p>
        </w:tc>
        <w:tc>
          <w:tcPr>
            <w:tcW w:w="1874" w:type="dxa"/>
            <w:tcBorders>
              <w:top w:val="single" w:sz="4" w:space="0" w:color="auto"/>
              <w:left w:val="nil"/>
              <w:bottom w:val="single" w:sz="4" w:space="0" w:color="auto"/>
              <w:right w:val="single" w:sz="4" w:space="0" w:color="auto"/>
            </w:tcBorders>
            <w:shd w:val="clear" w:color="auto" w:fill="auto"/>
            <w:noWrap/>
            <w:vAlign w:val="center"/>
            <w:hideMark/>
          </w:tcPr>
          <w:p w:rsidR="005B6603" w:rsidRPr="00BA321C" w:rsidRDefault="005B6603"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I1 - Субиндекс экономического развития</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B6603" w:rsidRPr="00BA321C" w:rsidRDefault="005B6603"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I2 - Субиндекс социального развития</w:t>
            </w:r>
          </w:p>
        </w:tc>
        <w:tc>
          <w:tcPr>
            <w:tcW w:w="2346" w:type="dxa"/>
            <w:tcBorders>
              <w:top w:val="single" w:sz="4" w:space="0" w:color="auto"/>
              <w:left w:val="nil"/>
              <w:bottom w:val="single" w:sz="4" w:space="0" w:color="auto"/>
              <w:right w:val="single" w:sz="4" w:space="0" w:color="auto"/>
            </w:tcBorders>
            <w:shd w:val="clear" w:color="auto" w:fill="auto"/>
            <w:noWrap/>
            <w:vAlign w:val="center"/>
            <w:hideMark/>
          </w:tcPr>
          <w:p w:rsidR="005B6603" w:rsidRPr="00BA321C" w:rsidRDefault="005B6603"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I3 - Субиндекс институционального развития</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Татарстан</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0,33</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0,21</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0,46</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Башкортостан</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0,34</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0,26</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0,40</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Нижегородская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0,35</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0,40</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Самарская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0,39</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0,36</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Саратовская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0,35</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0,33</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0,32</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Пермский край</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0,39</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0,29</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0,32</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8</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Мордовия</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0,30</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0,45</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13</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Ульяновская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0,42</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0,33</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Чувашская Республика</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0,31</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0,44</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11</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Оренбургская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0,44</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0,35</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0,21</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Удмуртская Республика</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0,44</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0,38</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0,18</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Кировская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0,29</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0,48</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0,23</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14</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Марий Эл</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0,25</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0,49</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0,26</w:t>
            </w:r>
          </w:p>
        </w:tc>
      </w:tr>
      <w:tr w:rsidR="00A8332B" w:rsidRPr="00BA321C" w:rsidTr="00B27493">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10</w:t>
            </w:r>
          </w:p>
        </w:tc>
        <w:tc>
          <w:tcPr>
            <w:tcW w:w="287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Пензенская область</w:t>
            </w:r>
          </w:p>
        </w:tc>
        <w:tc>
          <w:tcPr>
            <w:tcW w:w="1874"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0,54</w:t>
            </w:r>
          </w:p>
        </w:tc>
        <w:tc>
          <w:tcPr>
            <w:tcW w:w="1701"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0,31</w:t>
            </w:r>
          </w:p>
        </w:tc>
        <w:tc>
          <w:tcPr>
            <w:tcW w:w="2346" w:type="dxa"/>
            <w:tcBorders>
              <w:top w:val="nil"/>
              <w:left w:val="nil"/>
              <w:bottom w:val="single" w:sz="4" w:space="0" w:color="auto"/>
              <w:right w:val="single" w:sz="4" w:space="0" w:color="auto"/>
            </w:tcBorders>
            <w:shd w:val="clear" w:color="auto" w:fill="auto"/>
            <w:noWrap/>
            <w:vAlign w:val="center"/>
            <w:hideMark/>
          </w:tcPr>
          <w:p w:rsidR="00A8332B" w:rsidRPr="00BA321C" w:rsidRDefault="00A8332B"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0,15</w:t>
            </w:r>
          </w:p>
        </w:tc>
      </w:tr>
    </w:tbl>
    <w:p w:rsidR="005B6603" w:rsidRPr="00BA321C" w:rsidRDefault="005B6603" w:rsidP="00BA321C">
      <w:pPr>
        <w:shd w:val="clear" w:color="auto" w:fill="FFFFFF" w:themeFill="background1"/>
        <w:spacing w:after="0" w:line="360" w:lineRule="auto"/>
        <w:ind w:firstLine="567"/>
        <w:jc w:val="both"/>
        <w:rPr>
          <w:rFonts w:ascii="Times New Roman" w:hAnsi="Times New Roman"/>
          <w:sz w:val="28"/>
          <w:szCs w:val="28"/>
          <w:lang w:eastAsia="ru-RU"/>
        </w:rPr>
      </w:pPr>
    </w:p>
    <w:p w:rsidR="00CF6DA1" w:rsidRPr="00BA321C" w:rsidRDefault="00CF6DA1"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 xml:space="preserve">В целях определения однородных групп регионов по уровню их качественных характеристик развития социально-экономической </w:t>
      </w:r>
      <w:r w:rsidRPr="00BA321C">
        <w:rPr>
          <w:rFonts w:ascii="Times New Roman" w:hAnsi="Times New Roman"/>
          <w:sz w:val="28"/>
          <w:szCs w:val="28"/>
          <w:lang w:eastAsia="ru-RU"/>
        </w:rPr>
        <w:lastRenderedPageBreak/>
        <w:t xml:space="preserve">привлекательности был использован метод кластерного анализа, результаты которого представлены ниже. </w:t>
      </w:r>
    </w:p>
    <w:p w:rsidR="00CF6DA1" w:rsidRPr="00BA321C" w:rsidRDefault="00CF6DA1" w:rsidP="00BA321C">
      <w:pPr>
        <w:shd w:val="clear" w:color="auto" w:fill="FFFFFF" w:themeFill="background1"/>
        <w:spacing w:after="0" w:line="240" w:lineRule="auto"/>
        <w:rPr>
          <w:rFonts w:ascii="Times New Roman" w:hAnsi="Times New Roman"/>
          <w:b/>
          <w:sz w:val="28"/>
          <w:szCs w:val="28"/>
        </w:rPr>
      </w:pPr>
    </w:p>
    <w:tbl>
      <w:tblPr>
        <w:tblW w:w="9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199"/>
        <w:gridCol w:w="1200"/>
        <w:gridCol w:w="1476"/>
        <w:gridCol w:w="1476"/>
        <w:gridCol w:w="1476"/>
        <w:gridCol w:w="1476"/>
      </w:tblGrid>
      <w:tr w:rsidR="00CF6DA1" w:rsidRPr="00BA321C" w:rsidTr="00CF6DA1">
        <w:trPr>
          <w:cantSplit/>
        </w:trPr>
        <w:tc>
          <w:tcPr>
            <w:tcW w:w="9039" w:type="dxa"/>
            <w:gridSpan w:val="7"/>
            <w:tcBorders>
              <w:top w:val="nil"/>
              <w:left w:val="nil"/>
              <w:bottom w:val="nil"/>
              <w:right w:val="nil"/>
            </w:tcBorders>
            <w:shd w:val="clear" w:color="auto" w:fill="FFFFFF"/>
            <w:vAlign w:val="center"/>
          </w:tcPr>
          <w:p w:rsidR="00CF6DA1" w:rsidRPr="00BA321C" w:rsidRDefault="00CF6DA1" w:rsidP="00BA321C">
            <w:pPr>
              <w:shd w:val="clear" w:color="auto" w:fill="FFFFFF" w:themeFill="background1"/>
              <w:spacing w:after="0" w:line="360" w:lineRule="auto"/>
              <w:jc w:val="both"/>
              <w:rPr>
                <w:rFonts w:ascii="Times New Roman" w:hAnsi="Times New Roman"/>
                <w:sz w:val="18"/>
                <w:szCs w:val="18"/>
                <w:lang w:eastAsia="ru-RU"/>
              </w:rPr>
            </w:pPr>
            <w:r w:rsidRPr="00BA321C">
              <w:rPr>
                <w:rFonts w:ascii="Times New Roman" w:hAnsi="Times New Roman"/>
                <w:sz w:val="28"/>
                <w:szCs w:val="28"/>
                <w:lang w:eastAsia="ru-RU"/>
              </w:rPr>
              <w:t xml:space="preserve">Таблица </w:t>
            </w:r>
            <w:r w:rsidR="002A074E" w:rsidRPr="00BA321C">
              <w:rPr>
                <w:rFonts w:ascii="Times New Roman" w:hAnsi="Times New Roman"/>
                <w:sz w:val="28"/>
                <w:szCs w:val="28"/>
                <w:lang w:eastAsia="ru-RU"/>
              </w:rPr>
              <w:t>2.2.3</w:t>
            </w:r>
            <w:r w:rsidRPr="00BA321C">
              <w:rPr>
                <w:rFonts w:ascii="Times New Roman" w:hAnsi="Times New Roman"/>
                <w:sz w:val="28"/>
                <w:szCs w:val="28"/>
                <w:lang w:eastAsia="ru-RU"/>
              </w:rPr>
              <w:t xml:space="preserve"> - Порядок агломерации (кластеров)</w:t>
            </w:r>
          </w:p>
        </w:tc>
      </w:tr>
      <w:tr w:rsidR="00CF6DA1" w:rsidRPr="00BA321C" w:rsidTr="00CF6DA1">
        <w:trPr>
          <w:cantSplit/>
        </w:trPr>
        <w:tc>
          <w:tcPr>
            <w:tcW w:w="736" w:type="dxa"/>
            <w:vMerge w:val="restart"/>
            <w:tcBorders>
              <w:top w:val="single" w:sz="16" w:space="0" w:color="000000"/>
              <w:left w:val="single" w:sz="16" w:space="0" w:color="000000"/>
              <w:bottom w:val="nil"/>
              <w:right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Этап</w:t>
            </w:r>
          </w:p>
        </w:tc>
        <w:tc>
          <w:tcPr>
            <w:tcW w:w="2399" w:type="dxa"/>
            <w:gridSpan w:val="2"/>
            <w:tcBorders>
              <w:top w:val="single" w:sz="16" w:space="0" w:color="000000"/>
              <w:left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Объединенный кластер</w:t>
            </w:r>
          </w:p>
        </w:tc>
        <w:tc>
          <w:tcPr>
            <w:tcW w:w="1476" w:type="dxa"/>
            <w:vMerge w:val="restart"/>
            <w:tcBorders>
              <w:top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Коэффициенты</w:t>
            </w:r>
          </w:p>
        </w:tc>
        <w:tc>
          <w:tcPr>
            <w:tcW w:w="2952" w:type="dxa"/>
            <w:gridSpan w:val="2"/>
            <w:tcBorders>
              <w:top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Этап первого появления кластера</w:t>
            </w:r>
          </w:p>
        </w:tc>
        <w:tc>
          <w:tcPr>
            <w:tcW w:w="1476" w:type="dxa"/>
            <w:vMerge w:val="restart"/>
            <w:tcBorders>
              <w:top w:val="single" w:sz="16" w:space="0" w:color="000000"/>
              <w:right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Следующий этап</w:t>
            </w:r>
          </w:p>
        </w:tc>
      </w:tr>
      <w:tr w:rsidR="00CF6DA1" w:rsidRPr="00BA321C" w:rsidTr="00CF6DA1">
        <w:trPr>
          <w:cantSplit/>
        </w:trPr>
        <w:tc>
          <w:tcPr>
            <w:tcW w:w="736" w:type="dxa"/>
            <w:vMerge/>
            <w:tcBorders>
              <w:top w:val="single" w:sz="16" w:space="0" w:color="000000"/>
              <w:left w:val="single" w:sz="16" w:space="0" w:color="000000"/>
              <w:bottom w:val="nil"/>
              <w:right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240" w:lineRule="auto"/>
              <w:rPr>
                <w:rFonts w:ascii="Times New Roman" w:hAnsi="Times New Roman"/>
                <w:sz w:val="18"/>
                <w:szCs w:val="18"/>
                <w:lang w:eastAsia="ru-RU"/>
              </w:rPr>
            </w:pPr>
          </w:p>
        </w:tc>
        <w:tc>
          <w:tcPr>
            <w:tcW w:w="1199" w:type="dxa"/>
            <w:tcBorders>
              <w:left w:val="single" w:sz="16" w:space="0" w:color="000000"/>
              <w:bottom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Кластер 1</w:t>
            </w:r>
          </w:p>
        </w:tc>
        <w:tc>
          <w:tcPr>
            <w:tcW w:w="1200" w:type="dxa"/>
            <w:tcBorders>
              <w:bottom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Кластер 2</w:t>
            </w:r>
          </w:p>
        </w:tc>
        <w:tc>
          <w:tcPr>
            <w:tcW w:w="1476" w:type="dxa"/>
            <w:vMerge/>
            <w:tcBorders>
              <w:top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240" w:lineRule="auto"/>
              <w:rPr>
                <w:rFonts w:ascii="Times New Roman" w:hAnsi="Times New Roman"/>
                <w:sz w:val="18"/>
                <w:szCs w:val="18"/>
                <w:lang w:eastAsia="ru-RU"/>
              </w:rPr>
            </w:pPr>
          </w:p>
        </w:tc>
        <w:tc>
          <w:tcPr>
            <w:tcW w:w="1476" w:type="dxa"/>
            <w:tcBorders>
              <w:bottom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Кластер 1</w:t>
            </w:r>
          </w:p>
        </w:tc>
        <w:tc>
          <w:tcPr>
            <w:tcW w:w="1476" w:type="dxa"/>
            <w:tcBorders>
              <w:bottom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Кластер 2</w:t>
            </w:r>
          </w:p>
        </w:tc>
        <w:tc>
          <w:tcPr>
            <w:tcW w:w="1476" w:type="dxa"/>
            <w:vMerge/>
            <w:tcBorders>
              <w:top w:val="single" w:sz="16" w:space="0" w:color="000000"/>
              <w:right w:val="single" w:sz="16" w:space="0" w:color="000000"/>
            </w:tcBorders>
            <w:shd w:val="clear" w:color="auto" w:fill="FFFFFF"/>
            <w:vAlign w:val="bottom"/>
          </w:tcPr>
          <w:p w:rsidR="00CF6DA1" w:rsidRPr="00BA321C" w:rsidRDefault="00CF6DA1" w:rsidP="00BA321C">
            <w:pPr>
              <w:shd w:val="clear" w:color="auto" w:fill="FFFFFF" w:themeFill="background1"/>
              <w:autoSpaceDE w:val="0"/>
              <w:autoSpaceDN w:val="0"/>
              <w:adjustRightInd w:val="0"/>
              <w:spacing w:after="0" w:line="240" w:lineRule="auto"/>
              <w:rPr>
                <w:rFonts w:ascii="Times New Roman" w:hAnsi="Times New Roman"/>
                <w:sz w:val="18"/>
                <w:szCs w:val="18"/>
                <w:lang w:eastAsia="ru-RU"/>
              </w:rPr>
            </w:pPr>
          </w:p>
        </w:tc>
      </w:tr>
      <w:tr w:rsidR="00CF6DA1" w:rsidRPr="00BA321C" w:rsidTr="00CF6DA1">
        <w:trPr>
          <w:cantSplit/>
        </w:trPr>
        <w:tc>
          <w:tcPr>
            <w:tcW w:w="736" w:type="dxa"/>
            <w:tcBorders>
              <w:top w:val="single" w:sz="16" w:space="0" w:color="000000"/>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1</w:t>
            </w:r>
          </w:p>
        </w:tc>
        <w:tc>
          <w:tcPr>
            <w:tcW w:w="1199" w:type="dxa"/>
            <w:tcBorders>
              <w:top w:val="single" w:sz="16" w:space="0" w:color="000000"/>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2</w:t>
            </w:r>
          </w:p>
        </w:tc>
        <w:tc>
          <w:tcPr>
            <w:tcW w:w="1200" w:type="dxa"/>
            <w:tcBorders>
              <w:top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3</w:t>
            </w:r>
          </w:p>
        </w:tc>
        <w:tc>
          <w:tcPr>
            <w:tcW w:w="1476" w:type="dxa"/>
            <w:tcBorders>
              <w:top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,000</w:t>
            </w:r>
          </w:p>
        </w:tc>
        <w:tc>
          <w:tcPr>
            <w:tcW w:w="1476" w:type="dxa"/>
            <w:tcBorders>
              <w:top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single" w:sz="16" w:space="0" w:color="000000"/>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6</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2</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9</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,001</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5</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3</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10</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11</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,002</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8</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4</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5</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6</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,003</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11</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5</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8</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,003</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2</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8</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6</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2</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4</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,004</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9</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7</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12</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13</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,005</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10</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8</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,006</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5</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3</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10</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9</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2</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,009</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6</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11</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10</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12</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,01</w:t>
            </w:r>
            <w:r w:rsidR="00694ABE" w:rsidRPr="00BA321C">
              <w:rPr>
                <w:rFonts w:ascii="Times New Roman" w:hAnsi="Times New Roman"/>
                <w:sz w:val="18"/>
                <w:szCs w:val="18"/>
                <w:lang w:eastAsia="ru-RU"/>
              </w:rPr>
              <w:t>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8</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12</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11</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5</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,015</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9</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4</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13</w:t>
            </w:r>
          </w:p>
        </w:tc>
      </w:tr>
      <w:tr w:rsidR="00CF6DA1" w:rsidRPr="00BA321C" w:rsidTr="00CF6DA1">
        <w:trPr>
          <w:cantSplit/>
        </w:trPr>
        <w:tc>
          <w:tcPr>
            <w:tcW w:w="736" w:type="dxa"/>
            <w:tcBorders>
              <w:top w:val="nil"/>
              <w:left w:val="single" w:sz="16" w:space="0" w:color="000000"/>
              <w:bottom w:val="nil"/>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12</w:t>
            </w:r>
          </w:p>
        </w:tc>
        <w:tc>
          <w:tcPr>
            <w:tcW w:w="1199" w:type="dxa"/>
            <w:tcBorders>
              <w:top w:val="nil"/>
              <w:left w:val="single" w:sz="16" w:space="0" w:color="000000"/>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200"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14</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,030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10</w:t>
            </w:r>
          </w:p>
        </w:tc>
        <w:tc>
          <w:tcPr>
            <w:tcW w:w="1476" w:type="dxa"/>
            <w:tcBorders>
              <w:top w:val="nil"/>
              <w:bottom w:val="nil"/>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c>
          <w:tcPr>
            <w:tcW w:w="1476" w:type="dxa"/>
            <w:tcBorders>
              <w:top w:val="nil"/>
              <w:bottom w:val="nil"/>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13</w:t>
            </w:r>
          </w:p>
        </w:tc>
      </w:tr>
      <w:tr w:rsidR="00CF6DA1" w:rsidRPr="00BA321C" w:rsidTr="00CF6DA1">
        <w:trPr>
          <w:cantSplit/>
        </w:trPr>
        <w:tc>
          <w:tcPr>
            <w:tcW w:w="736" w:type="dxa"/>
            <w:tcBorders>
              <w:top w:val="nil"/>
              <w:left w:val="single" w:sz="16" w:space="0" w:color="000000"/>
              <w:bottom w:val="single" w:sz="16" w:space="0" w:color="000000"/>
              <w:right w:val="single" w:sz="16" w:space="0" w:color="000000"/>
            </w:tcBorders>
            <w:shd w:val="clear" w:color="auto" w:fill="FFFFFF"/>
          </w:tcPr>
          <w:p w:rsidR="00CF6DA1" w:rsidRPr="00BA321C" w:rsidRDefault="00CF6DA1"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13</w:t>
            </w:r>
          </w:p>
        </w:tc>
        <w:tc>
          <w:tcPr>
            <w:tcW w:w="1199" w:type="dxa"/>
            <w:tcBorders>
              <w:top w:val="nil"/>
              <w:left w:val="single" w:sz="16" w:space="0" w:color="000000"/>
              <w:bottom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w:t>
            </w:r>
          </w:p>
        </w:tc>
        <w:tc>
          <w:tcPr>
            <w:tcW w:w="1200" w:type="dxa"/>
            <w:tcBorders>
              <w:top w:val="nil"/>
              <w:bottom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7</w:t>
            </w:r>
          </w:p>
        </w:tc>
        <w:tc>
          <w:tcPr>
            <w:tcW w:w="1476" w:type="dxa"/>
            <w:tcBorders>
              <w:top w:val="nil"/>
              <w:bottom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,059</w:t>
            </w:r>
          </w:p>
        </w:tc>
        <w:tc>
          <w:tcPr>
            <w:tcW w:w="1476" w:type="dxa"/>
            <w:tcBorders>
              <w:top w:val="nil"/>
              <w:bottom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11</w:t>
            </w:r>
          </w:p>
        </w:tc>
        <w:tc>
          <w:tcPr>
            <w:tcW w:w="1476" w:type="dxa"/>
            <w:tcBorders>
              <w:top w:val="nil"/>
              <w:bottom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12</w:t>
            </w:r>
          </w:p>
        </w:tc>
        <w:tc>
          <w:tcPr>
            <w:tcW w:w="1476" w:type="dxa"/>
            <w:tcBorders>
              <w:top w:val="nil"/>
              <w:bottom w:val="single" w:sz="16" w:space="0" w:color="000000"/>
              <w:right w:val="single" w:sz="16" w:space="0" w:color="000000"/>
            </w:tcBorders>
            <w:shd w:val="clear" w:color="auto" w:fill="FFFFFF"/>
            <w:vAlign w:val="center"/>
          </w:tcPr>
          <w:p w:rsidR="00CF6DA1" w:rsidRPr="00BA321C" w:rsidRDefault="00CF6DA1" w:rsidP="00BA321C">
            <w:pPr>
              <w:shd w:val="clear" w:color="auto" w:fill="FFFFFF" w:themeFill="background1"/>
              <w:autoSpaceDE w:val="0"/>
              <w:autoSpaceDN w:val="0"/>
              <w:adjustRightInd w:val="0"/>
              <w:spacing w:after="0" w:line="320" w:lineRule="atLeast"/>
              <w:ind w:left="60" w:right="60"/>
              <w:jc w:val="right"/>
              <w:rPr>
                <w:rFonts w:ascii="Times New Roman" w:hAnsi="Times New Roman"/>
                <w:sz w:val="18"/>
                <w:szCs w:val="18"/>
                <w:lang w:eastAsia="ru-RU"/>
              </w:rPr>
            </w:pPr>
            <w:r w:rsidRPr="00BA321C">
              <w:rPr>
                <w:rFonts w:ascii="Times New Roman" w:hAnsi="Times New Roman"/>
                <w:sz w:val="18"/>
                <w:szCs w:val="18"/>
                <w:lang w:eastAsia="ru-RU"/>
              </w:rPr>
              <w:t>0</w:t>
            </w:r>
          </w:p>
        </w:tc>
      </w:tr>
    </w:tbl>
    <w:p w:rsidR="00CF6DA1" w:rsidRPr="00BA321C" w:rsidRDefault="00CF6DA1" w:rsidP="00BA321C">
      <w:pPr>
        <w:shd w:val="clear" w:color="auto" w:fill="FFFFFF" w:themeFill="background1"/>
        <w:autoSpaceDE w:val="0"/>
        <w:autoSpaceDN w:val="0"/>
        <w:adjustRightInd w:val="0"/>
        <w:spacing w:after="0" w:line="400" w:lineRule="atLeast"/>
        <w:rPr>
          <w:rFonts w:ascii="Times New Roman" w:hAnsi="Times New Roman"/>
          <w:sz w:val="24"/>
          <w:szCs w:val="24"/>
          <w:lang w:eastAsia="ru-RU"/>
        </w:rPr>
      </w:pPr>
    </w:p>
    <w:p w:rsidR="00694ABE" w:rsidRPr="00BA321C" w:rsidRDefault="00694ABE"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Значения показателей столбца «Коэффициенты», представленных в таблице 2.2.3, демонстрируют скачкообразный характер роста на 12 наблюдении (скачок с 0,15 до 0,30). Следовательно, именно на данном итерационном шаге следует остановить объединение кластеров, в противном случае произойдет неэффективное объединение кластеров. Таким образом применительно к нашему кластерному анализу можно утверждать, что оптимальным будет считаться 3 кластера (разница между количеством наблюдений (14) и количеством шагов, предшествующих скачку коэффициента (11)).</w:t>
      </w:r>
    </w:p>
    <w:p w:rsidR="00CF6DA1" w:rsidRPr="00BA321C" w:rsidRDefault="00CF6DA1" w:rsidP="00BA321C">
      <w:pPr>
        <w:shd w:val="clear" w:color="auto" w:fill="FFFFFF" w:themeFill="background1"/>
        <w:spacing w:after="0" w:line="360" w:lineRule="auto"/>
        <w:ind w:firstLine="851"/>
        <w:jc w:val="both"/>
        <w:rPr>
          <w:rFonts w:ascii="Times New Roman" w:hAnsi="Times New Roman"/>
          <w:sz w:val="28"/>
          <w:szCs w:val="28"/>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804"/>
        <w:gridCol w:w="2518"/>
        <w:gridCol w:w="2518"/>
        <w:gridCol w:w="2515"/>
      </w:tblGrid>
      <w:tr w:rsidR="004F2991" w:rsidRPr="00BA321C" w:rsidTr="00AA08A0">
        <w:trPr>
          <w:cantSplit/>
        </w:trPr>
        <w:tc>
          <w:tcPr>
            <w:tcW w:w="5000" w:type="pct"/>
            <w:gridSpan w:val="4"/>
            <w:tcBorders>
              <w:top w:val="nil"/>
              <w:left w:val="nil"/>
              <w:bottom w:val="nil"/>
              <w:right w:val="nil"/>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both"/>
              <w:rPr>
                <w:rFonts w:ascii="Times New Roman" w:hAnsi="Times New Roman"/>
                <w:sz w:val="18"/>
                <w:szCs w:val="18"/>
                <w:lang w:eastAsia="ru-RU"/>
              </w:rPr>
            </w:pPr>
            <w:r w:rsidRPr="00BA321C">
              <w:rPr>
                <w:rFonts w:ascii="Times New Roman" w:hAnsi="Times New Roman"/>
                <w:bCs/>
                <w:sz w:val="28"/>
                <w:szCs w:val="18"/>
              </w:rPr>
              <w:t xml:space="preserve">Таблица </w:t>
            </w:r>
            <w:r w:rsidR="002A074E" w:rsidRPr="00BA321C">
              <w:rPr>
                <w:rFonts w:ascii="Times New Roman" w:hAnsi="Times New Roman"/>
                <w:bCs/>
                <w:sz w:val="28"/>
                <w:szCs w:val="18"/>
              </w:rPr>
              <w:t>2.2.4</w:t>
            </w:r>
            <w:r w:rsidRPr="00BA321C">
              <w:rPr>
                <w:rFonts w:ascii="Times New Roman" w:hAnsi="Times New Roman"/>
                <w:bCs/>
                <w:sz w:val="28"/>
                <w:szCs w:val="18"/>
              </w:rPr>
              <w:t xml:space="preserve"> - Конечные центры кластеров</w:t>
            </w:r>
          </w:p>
        </w:tc>
      </w:tr>
      <w:tr w:rsidR="004F2991" w:rsidRPr="00BA321C" w:rsidTr="00AA08A0">
        <w:trPr>
          <w:cantSplit/>
        </w:trPr>
        <w:tc>
          <w:tcPr>
            <w:tcW w:w="964" w:type="pct"/>
            <w:vMerge w:val="restart"/>
            <w:tcBorders>
              <w:top w:val="single" w:sz="16" w:space="0" w:color="000000"/>
              <w:left w:val="single" w:sz="16" w:space="0" w:color="000000"/>
              <w:bottom w:val="nil"/>
              <w:right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240" w:lineRule="auto"/>
              <w:rPr>
                <w:rFonts w:ascii="Times New Roman" w:hAnsi="Times New Roman"/>
                <w:sz w:val="24"/>
                <w:szCs w:val="24"/>
                <w:lang w:eastAsia="ru-RU"/>
              </w:rPr>
            </w:pPr>
          </w:p>
        </w:tc>
        <w:tc>
          <w:tcPr>
            <w:tcW w:w="4036" w:type="pct"/>
            <w:gridSpan w:val="3"/>
            <w:tcBorders>
              <w:top w:val="single" w:sz="16" w:space="0" w:color="000000"/>
              <w:left w:val="single" w:sz="16" w:space="0" w:color="000000"/>
              <w:right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Кластер</w:t>
            </w:r>
          </w:p>
        </w:tc>
      </w:tr>
      <w:tr w:rsidR="004F2991" w:rsidRPr="00BA321C" w:rsidTr="00234BD7">
        <w:trPr>
          <w:cantSplit/>
        </w:trPr>
        <w:tc>
          <w:tcPr>
            <w:tcW w:w="964" w:type="pct"/>
            <w:vMerge/>
            <w:tcBorders>
              <w:top w:val="single" w:sz="16" w:space="0" w:color="000000"/>
              <w:left w:val="single" w:sz="16" w:space="0" w:color="000000"/>
              <w:bottom w:val="nil"/>
              <w:right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240" w:lineRule="auto"/>
              <w:rPr>
                <w:rFonts w:ascii="Times New Roman" w:hAnsi="Times New Roman"/>
                <w:sz w:val="18"/>
                <w:szCs w:val="18"/>
                <w:lang w:eastAsia="ru-RU"/>
              </w:rPr>
            </w:pPr>
          </w:p>
        </w:tc>
        <w:tc>
          <w:tcPr>
            <w:tcW w:w="1346" w:type="pct"/>
            <w:tcBorders>
              <w:left w:val="single" w:sz="16" w:space="0" w:color="000000"/>
              <w:bottom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1</w:t>
            </w:r>
          </w:p>
        </w:tc>
        <w:tc>
          <w:tcPr>
            <w:tcW w:w="1346" w:type="pct"/>
            <w:tcBorders>
              <w:bottom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2</w:t>
            </w:r>
          </w:p>
        </w:tc>
        <w:tc>
          <w:tcPr>
            <w:tcW w:w="1344" w:type="pct"/>
            <w:tcBorders>
              <w:bottom w:val="single" w:sz="16" w:space="0" w:color="000000"/>
              <w:right w:val="single" w:sz="16" w:space="0" w:color="000000"/>
            </w:tcBorders>
            <w:shd w:val="clear" w:color="auto" w:fill="FFFFFF"/>
            <w:vAlign w:val="bottom"/>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3</w:t>
            </w:r>
          </w:p>
        </w:tc>
      </w:tr>
      <w:tr w:rsidR="004F2991" w:rsidRPr="00BA321C" w:rsidTr="00234BD7">
        <w:trPr>
          <w:cantSplit/>
        </w:trPr>
        <w:tc>
          <w:tcPr>
            <w:tcW w:w="964" w:type="pct"/>
            <w:tcBorders>
              <w:top w:val="single" w:sz="16" w:space="0" w:color="000000"/>
              <w:left w:val="single" w:sz="16" w:space="0" w:color="000000"/>
              <w:bottom w:val="nil"/>
              <w:right w:val="single" w:sz="16" w:space="0" w:color="000000"/>
            </w:tcBorders>
            <w:shd w:val="clear" w:color="auto" w:fill="FFFFFF"/>
          </w:tcPr>
          <w:p w:rsidR="00AA08A0" w:rsidRPr="00BA321C" w:rsidRDefault="00AA08A0"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I1</w:t>
            </w:r>
          </w:p>
        </w:tc>
        <w:tc>
          <w:tcPr>
            <w:tcW w:w="1346" w:type="pct"/>
            <w:tcBorders>
              <w:top w:val="single" w:sz="16" w:space="0" w:color="000000"/>
              <w:left w:val="single" w:sz="16" w:space="0" w:color="000000"/>
              <w:bottom w:val="nil"/>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,36</w:t>
            </w:r>
          </w:p>
        </w:tc>
        <w:tc>
          <w:tcPr>
            <w:tcW w:w="1346" w:type="pct"/>
            <w:tcBorders>
              <w:top w:val="single" w:sz="16" w:space="0" w:color="000000"/>
              <w:bottom w:val="nil"/>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,29</w:t>
            </w:r>
          </w:p>
        </w:tc>
        <w:tc>
          <w:tcPr>
            <w:tcW w:w="1344" w:type="pct"/>
            <w:tcBorders>
              <w:top w:val="single" w:sz="16" w:space="0" w:color="000000"/>
              <w:bottom w:val="nil"/>
              <w:right w:val="single" w:sz="16" w:space="0" w:color="000000"/>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,46</w:t>
            </w:r>
          </w:p>
        </w:tc>
      </w:tr>
      <w:tr w:rsidR="004F2991" w:rsidRPr="00BA321C" w:rsidTr="00234BD7">
        <w:trPr>
          <w:cantSplit/>
        </w:trPr>
        <w:tc>
          <w:tcPr>
            <w:tcW w:w="964" w:type="pct"/>
            <w:tcBorders>
              <w:top w:val="nil"/>
              <w:left w:val="single" w:sz="16" w:space="0" w:color="000000"/>
              <w:bottom w:val="nil"/>
              <w:right w:val="single" w:sz="16" w:space="0" w:color="000000"/>
            </w:tcBorders>
            <w:shd w:val="clear" w:color="auto" w:fill="FFFFFF"/>
          </w:tcPr>
          <w:p w:rsidR="00AA08A0" w:rsidRPr="00BA321C" w:rsidRDefault="00AA08A0"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I2</w:t>
            </w:r>
          </w:p>
        </w:tc>
        <w:tc>
          <w:tcPr>
            <w:tcW w:w="1346" w:type="pct"/>
            <w:tcBorders>
              <w:top w:val="nil"/>
              <w:left w:val="single" w:sz="16" w:space="0" w:color="000000"/>
              <w:bottom w:val="nil"/>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,27</w:t>
            </w:r>
          </w:p>
        </w:tc>
        <w:tc>
          <w:tcPr>
            <w:tcW w:w="1346" w:type="pct"/>
            <w:tcBorders>
              <w:top w:val="nil"/>
              <w:bottom w:val="nil"/>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,47</w:t>
            </w:r>
          </w:p>
        </w:tc>
        <w:tc>
          <w:tcPr>
            <w:tcW w:w="1344" w:type="pct"/>
            <w:tcBorders>
              <w:top w:val="nil"/>
              <w:bottom w:val="nil"/>
              <w:right w:val="single" w:sz="16" w:space="0" w:color="000000"/>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,34</w:t>
            </w:r>
          </w:p>
        </w:tc>
      </w:tr>
      <w:tr w:rsidR="004F2991" w:rsidRPr="00BA321C" w:rsidTr="00234BD7">
        <w:trPr>
          <w:cantSplit/>
        </w:trPr>
        <w:tc>
          <w:tcPr>
            <w:tcW w:w="964" w:type="pct"/>
            <w:tcBorders>
              <w:top w:val="nil"/>
              <w:left w:val="single" w:sz="16" w:space="0" w:color="000000"/>
              <w:bottom w:val="single" w:sz="16" w:space="0" w:color="000000"/>
              <w:right w:val="single" w:sz="16" w:space="0" w:color="000000"/>
            </w:tcBorders>
            <w:shd w:val="clear" w:color="auto" w:fill="FFFFFF"/>
          </w:tcPr>
          <w:p w:rsidR="00AA08A0" w:rsidRPr="00BA321C" w:rsidRDefault="00AA08A0" w:rsidP="00BA321C">
            <w:pPr>
              <w:shd w:val="clear" w:color="auto" w:fill="FFFFFF" w:themeFill="background1"/>
              <w:autoSpaceDE w:val="0"/>
              <w:autoSpaceDN w:val="0"/>
              <w:adjustRightInd w:val="0"/>
              <w:spacing w:after="0" w:line="320" w:lineRule="atLeast"/>
              <w:ind w:left="60" w:right="60"/>
              <w:rPr>
                <w:rFonts w:ascii="Times New Roman" w:hAnsi="Times New Roman"/>
                <w:sz w:val="18"/>
                <w:szCs w:val="18"/>
                <w:lang w:eastAsia="ru-RU"/>
              </w:rPr>
            </w:pPr>
            <w:r w:rsidRPr="00BA321C">
              <w:rPr>
                <w:rFonts w:ascii="Times New Roman" w:hAnsi="Times New Roman"/>
                <w:sz w:val="18"/>
                <w:szCs w:val="18"/>
                <w:lang w:eastAsia="ru-RU"/>
              </w:rPr>
              <w:t>I3</w:t>
            </w:r>
          </w:p>
        </w:tc>
        <w:tc>
          <w:tcPr>
            <w:tcW w:w="1346" w:type="pct"/>
            <w:tcBorders>
              <w:top w:val="nil"/>
              <w:left w:val="single" w:sz="16" w:space="0" w:color="000000"/>
              <w:bottom w:val="single" w:sz="16" w:space="0" w:color="000000"/>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,38</w:t>
            </w:r>
          </w:p>
        </w:tc>
        <w:tc>
          <w:tcPr>
            <w:tcW w:w="1346" w:type="pct"/>
            <w:tcBorders>
              <w:top w:val="nil"/>
              <w:bottom w:val="single" w:sz="16" w:space="0" w:color="000000"/>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,25</w:t>
            </w:r>
          </w:p>
        </w:tc>
        <w:tc>
          <w:tcPr>
            <w:tcW w:w="1344" w:type="pct"/>
            <w:tcBorders>
              <w:top w:val="nil"/>
              <w:bottom w:val="single" w:sz="16" w:space="0" w:color="000000"/>
              <w:right w:val="single" w:sz="16" w:space="0" w:color="000000"/>
            </w:tcBorders>
            <w:shd w:val="clear" w:color="auto" w:fill="FFFFFF"/>
            <w:vAlign w:val="center"/>
          </w:tcPr>
          <w:p w:rsidR="00AA08A0" w:rsidRPr="00BA321C" w:rsidRDefault="00AA08A0" w:rsidP="00BA321C">
            <w:pPr>
              <w:shd w:val="clear" w:color="auto" w:fill="FFFFFF" w:themeFill="background1"/>
              <w:autoSpaceDE w:val="0"/>
              <w:autoSpaceDN w:val="0"/>
              <w:adjustRightInd w:val="0"/>
              <w:spacing w:after="0" w:line="320" w:lineRule="atLeast"/>
              <w:ind w:left="60" w:right="60"/>
              <w:jc w:val="center"/>
              <w:rPr>
                <w:rFonts w:ascii="Times New Roman" w:hAnsi="Times New Roman"/>
                <w:sz w:val="18"/>
                <w:szCs w:val="18"/>
                <w:lang w:eastAsia="ru-RU"/>
              </w:rPr>
            </w:pPr>
            <w:r w:rsidRPr="00BA321C">
              <w:rPr>
                <w:rFonts w:ascii="Times New Roman" w:hAnsi="Times New Roman"/>
                <w:sz w:val="18"/>
                <w:szCs w:val="18"/>
                <w:lang w:eastAsia="ru-RU"/>
              </w:rPr>
              <w:t>,20</w:t>
            </w:r>
          </w:p>
        </w:tc>
      </w:tr>
    </w:tbl>
    <w:p w:rsidR="00AA08A0" w:rsidRPr="00BA321C" w:rsidRDefault="00AA08A0" w:rsidP="00BA321C">
      <w:pPr>
        <w:shd w:val="clear" w:color="auto" w:fill="FFFFFF" w:themeFill="background1"/>
        <w:autoSpaceDE w:val="0"/>
        <w:autoSpaceDN w:val="0"/>
        <w:adjustRightInd w:val="0"/>
        <w:spacing w:after="0" w:line="400" w:lineRule="atLeast"/>
        <w:rPr>
          <w:rFonts w:ascii="Times New Roman" w:hAnsi="Times New Roman"/>
          <w:sz w:val="24"/>
          <w:szCs w:val="24"/>
          <w:lang w:eastAsia="ru-RU"/>
        </w:rPr>
      </w:pPr>
    </w:p>
    <w:p w:rsidR="00CF6DA1" w:rsidRPr="00BA321C" w:rsidRDefault="00CF6DA1" w:rsidP="00BA321C">
      <w:pPr>
        <w:shd w:val="clear" w:color="auto" w:fill="FFFFFF" w:themeFill="background1"/>
        <w:spacing w:after="0" w:line="240" w:lineRule="auto"/>
        <w:jc w:val="both"/>
        <w:rPr>
          <w:rFonts w:ascii="Times New Roman" w:hAnsi="Times New Roman"/>
          <w:sz w:val="28"/>
          <w:szCs w:val="28"/>
        </w:rPr>
      </w:pPr>
      <w:r w:rsidRPr="00BA321C">
        <w:rPr>
          <w:rFonts w:ascii="Times New Roman" w:hAnsi="Times New Roman"/>
          <w:sz w:val="28"/>
          <w:szCs w:val="28"/>
        </w:rPr>
        <w:lastRenderedPageBreak/>
        <w:t xml:space="preserve">Таблица </w:t>
      </w:r>
      <w:r w:rsidR="002A074E" w:rsidRPr="00BA321C">
        <w:rPr>
          <w:rFonts w:ascii="Times New Roman" w:hAnsi="Times New Roman"/>
          <w:sz w:val="28"/>
          <w:szCs w:val="28"/>
        </w:rPr>
        <w:t>2.2.5</w:t>
      </w:r>
      <w:r w:rsidRPr="00BA321C">
        <w:rPr>
          <w:rFonts w:ascii="Times New Roman" w:hAnsi="Times New Roman"/>
          <w:sz w:val="28"/>
          <w:szCs w:val="28"/>
        </w:rPr>
        <w:t xml:space="preserve"> – Основные характеристики кластеризации рынков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68"/>
        <w:gridCol w:w="1925"/>
        <w:gridCol w:w="1925"/>
        <w:gridCol w:w="1927"/>
      </w:tblGrid>
      <w:tr w:rsidR="004F2991" w:rsidRPr="00BA321C" w:rsidTr="00AA08A0">
        <w:tc>
          <w:tcPr>
            <w:tcW w:w="1909" w:type="pct"/>
            <w:vMerge w:val="restart"/>
            <w:shd w:val="clear" w:color="auto" w:fill="auto"/>
            <w:vAlign w:val="center"/>
          </w:tcPr>
          <w:p w:rsidR="00CF6DA1" w:rsidRPr="00BA321C" w:rsidRDefault="00CF6DA1" w:rsidP="00BA321C">
            <w:pPr>
              <w:shd w:val="clear" w:color="auto" w:fill="FFFFFF" w:themeFill="background1"/>
              <w:jc w:val="center"/>
              <w:rPr>
                <w:rFonts w:ascii="Times New Roman" w:hAnsi="Times New Roman"/>
              </w:rPr>
            </w:pPr>
            <w:r w:rsidRPr="00BA321C">
              <w:rPr>
                <w:rFonts w:ascii="Times New Roman" w:hAnsi="Times New Roman"/>
              </w:rPr>
              <w:t>Факторы</w:t>
            </w:r>
          </w:p>
        </w:tc>
        <w:tc>
          <w:tcPr>
            <w:tcW w:w="3091" w:type="pct"/>
            <w:gridSpan w:val="3"/>
            <w:shd w:val="clear" w:color="auto" w:fill="auto"/>
          </w:tcPr>
          <w:p w:rsidR="00CF6DA1" w:rsidRPr="00BA321C" w:rsidRDefault="00CF6DA1" w:rsidP="00BA321C">
            <w:pPr>
              <w:shd w:val="clear" w:color="auto" w:fill="FFFFFF" w:themeFill="background1"/>
              <w:jc w:val="center"/>
              <w:rPr>
                <w:rFonts w:ascii="Times New Roman" w:hAnsi="Times New Roman"/>
              </w:rPr>
            </w:pPr>
            <w:r w:rsidRPr="00BA321C">
              <w:rPr>
                <w:rFonts w:ascii="Times New Roman" w:hAnsi="Times New Roman"/>
              </w:rPr>
              <w:t>Характеристики кластерной принадлежности</w:t>
            </w:r>
          </w:p>
        </w:tc>
      </w:tr>
      <w:tr w:rsidR="004F2991" w:rsidRPr="00BA321C" w:rsidTr="000020E1">
        <w:tc>
          <w:tcPr>
            <w:tcW w:w="1909" w:type="pct"/>
            <w:vMerge/>
            <w:shd w:val="clear" w:color="auto" w:fill="auto"/>
          </w:tcPr>
          <w:p w:rsidR="00CF6DA1" w:rsidRPr="00BA321C" w:rsidRDefault="00CF6DA1" w:rsidP="00BA321C">
            <w:pPr>
              <w:shd w:val="clear" w:color="auto" w:fill="FFFFFF" w:themeFill="background1"/>
              <w:rPr>
                <w:rFonts w:ascii="Times New Roman" w:hAnsi="Times New Roman"/>
              </w:rPr>
            </w:pPr>
          </w:p>
        </w:tc>
        <w:tc>
          <w:tcPr>
            <w:tcW w:w="1030" w:type="pct"/>
            <w:shd w:val="clear" w:color="auto" w:fill="auto"/>
          </w:tcPr>
          <w:p w:rsidR="00CF6DA1" w:rsidRPr="00BA321C" w:rsidRDefault="00CF6DA1" w:rsidP="00BA321C">
            <w:pPr>
              <w:shd w:val="clear" w:color="auto" w:fill="FFFFFF" w:themeFill="background1"/>
              <w:jc w:val="center"/>
              <w:rPr>
                <w:rFonts w:ascii="Times New Roman" w:hAnsi="Times New Roman"/>
              </w:rPr>
            </w:pPr>
            <w:r w:rsidRPr="00BA321C">
              <w:rPr>
                <w:rFonts w:ascii="Times New Roman" w:hAnsi="Times New Roman"/>
              </w:rPr>
              <w:t>1</w:t>
            </w:r>
          </w:p>
        </w:tc>
        <w:tc>
          <w:tcPr>
            <w:tcW w:w="1030" w:type="pct"/>
            <w:shd w:val="clear" w:color="auto" w:fill="auto"/>
          </w:tcPr>
          <w:p w:rsidR="00CF6DA1" w:rsidRPr="00BA321C" w:rsidRDefault="00CF6DA1" w:rsidP="00BA321C">
            <w:pPr>
              <w:shd w:val="clear" w:color="auto" w:fill="FFFFFF" w:themeFill="background1"/>
              <w:jc w:val="center"/>
              <w:rPr>
                <w:rFonts w:ascii="Times New Roman" w:hAnsi="Times New Roman"/>
              </w:rPr>
            </w:pPr>
            <w:r w:rsidRPr="00BA321C">
              <w:rPr>
                <w:rFonts w:ascii="Times New Roman" w:hAnsi="Times New Roman"/>
              </w:rPr>
              <w:t>2</w:t>
            </w:r>
          </w:p>
        </w:tc>
        <w:tc>
          <w:tcPr>
            <w:tcW w:w="1031" w:type="pct"/>
            <w:shd w:val="clear" w:color="auto" w:fill="auto"/>
          </w:tcPr>
          <w:p w:rsidR="00CF6DA1" w:rsidRPr="00BA321C" w:rsidRDefault="00CF6DA1" w:rsidP="00BA321C">
            <w:pPr>
              <w:shd w:val="clear" w:color="auto" w:fill="FFFFFF" w:themeFill="background1"/>
              <w:jc w:val="center"/>
              <w:rPr>
                <w:rFonts w:ascii="Times New Roman" w:hAnsi="Times New Roman"/>
              </w:rPr>
            </w:pPr>
            <w:r w:rsidRPr="00BA321C">
              <w:rPr>
                <w:rFonts w:ascii="Times New Roman" w:hAnsi="Times New Roman"/>
              </w:rPr>
              <w:t>3</w:t>
            </w:r>
          </w:p>
        </w:tc>
      </w:tr>
      <w:tr w:rsidR="004F2991" w:rsidRPr="00BA321C" w:rsidTr="000020E1">
        <w:tc>
          <w:tcPr>
            <w:tcW w:w="1909" w:type="pct"/>
            <w:shd w:val="clear" w:color="auto" w:fill="auto"/>
          </w:tcPr>
          <w:p w:rsidR="00CF6DA1" w:rsidRPr="00BA321C" w:rsidRDefault="003F3DFC" w:rsidP="00BA321C">
            <w:pPr>
              <w:shd w:val="clear" w:color="auto" w:fill="FFFFFF" w:themeFill="background1"/>
              <w:rPr>
                <w:rFonts w:ascii="Times New Roman" w:hAnsi="Times New Roman"/>
              </w:rPr>
            </w:pPr>
            <w:r w:rsidRPr="00BA321C">
              <w:rPr>
                <w:rFonts w:ascii="Times New Roman" w:eastAsia="Times New Roman" w:hAnsi="Times New Roman"/>
                <w:sz w:val="24"/>
                <w:szCs w:val="24"/>
                <w:lang w:eastAsia="ru-RU"/>
              </w:rPr>
              <w:t>Ресурсный экономический потенциал</w:t>
            </w:r>
            <w:r w:rsidR="007352EE" w:rsidRPr="00BA321C">
              <w:rPr>
                <w:rFonts w:ascii="Times New Roman" w:eastAsia="Times New Roman" w:hAnsi="Times New Roman"/>
                <w:sz w:val="24"/>
                <w:szCs w:val="24"/>
                <w:lang w:eastAsia="ru-RU"/>
              </w:rPr>
              <w:t xml:space="preserve"> </w:t>
            </w:r>
          </w:p>
        </w:tc>
        <w:tc>
          <w:tcPr>
            <w:tcW w:w="1030" w:type="pct"/>
            <w:shd w:val="clear" w:color="auto" w:fill="92D050"/>
          </w:tcPr>
          <w:p w:rsidR="00CF6DA1" w:rsidRPr="00BA321C" w:rsidRDefault="007352EE"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Высокий уровень ресурсной базы (значение весового коэффициента субиндекса (I1) экономического развития выше среднего)</w:t>
            </w:r>
          </w:p>
        </w:tc>
        <w:tc>
          <w:tcPr>
            <w:tcW w:w="1030" w:type="pct"/>
            <w:shd w:val="clear" w:color="auto" w:fill="FF0000"/>
          </w:tcPr>
          <w:p w:rsidR="00CF6DA1" w:rsidRPr="00BA321C" w:rsidRDefault="00AA08A0"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Низкий</w:t>
            </w:r>
            <w:r w:rsidR="00007567" w:rsidRPr="00BA321C">
              <w:rPr>
                <w:rFonts w:ascii="Times New Roman" w:eastAsia="Times New Roman" w:hAnsi="Times New Roman"/>
                <w:sz w:val="24"/>
                <w:szCs w:val="24"/>
                <w:lang w:eastAsia="ru-RU"/>
              </w:rPr>
              <w:t xml:space="preserve"> уровень ресурсной базы (значение весового коэффициента субиндекса (I1) экономического развития </w:t>
            </w:r>
            <w:r w:rsidRPr="00BA321C">
              <w:rPr>
                <w:rFonts w:ascii="Times New Roman" w:eastAsia="Times New Roman" w:hAnsi="Times New Roman"/>
                <w:sz w:val="24"/>
                <w:szCs w:val="24"/>
                <w:lang w:eastAsia="ru-RU"/>
              </w:rPr>
              <w:t>самое низкое</w:t>
            </w:r>
            <w:r w:rsidR="00007567" w:rsidRPr="00BA321C">
              <w:rPr>
                <w:rFonts w:ascii="Times New Roman" w:eastAsia="Times New Roman" w:hAnsi="Times New Roman"/>
                <w:sz w:val="24"/>
                <w:szCs w:val="24"/>
                <w:lang w:eastAsia="ru-RU"/>
              </w:rPr>
              <w:t>)</w:t>
            </w:r>
          </w:p>
        </w:tc>
        <w:tc>
          <w:tcPr>
            <w:tcW w:w="1031" w:type="pct"/>
            <w:shd w:val="clear" w:color="auto" w:fill="00B050"/>
          </w:tcPr>
          <w:p w:rsidR="00CF6DA1" w:rsidRPr="00BA321C" w:rsidRDefault="00AA08A0"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Высокий уровень ресурсной базы (значение весового коэффициента субиндекса (I1) экономического развития принимает максимальные значения)</w:t>
            </w:r>
          </w:p>
        </w:tc>
      </w:tr>
      <w:tr w:rsidR="004F2991" w:rsidRPr="00BA321C" w:rsidTr="000020E1">
        <w:tc>
          <w:tcPr>
            <w:tcW w:w="1909" w:type="pct"/>
            <w:shd w:val="clear" w:color="auto" w:fill="auto"/>
          </w:tcPr>
          <w:p w:rsidR="00007567" w:rsidRPr="00BA321C" w:rsidRDefault="00007567" w:rsidP="00BA321C">
            <w:pPr>
              <w:shd w:val="clear" w:color="auto" w:fill="FFFFFF" w:themeFill="background1"/>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Социальный потенциал развития региональных производительных сил (экология, преступность, степень развития социального пространства)</w:t>
            </w:r>
          </w:p>
          <w:p w:rsidR="00CF6DA1" w:rsidRPr="00BA321C" w:rsidRDefault="00CF6DA1" w:rsidP="00BA321C">
            <w:pPr>
              <w:shd w:val="clear" w:color="auto" w:fill="FFFFFF" w:themeFill="background1"/>
              <w:rPr>
                <w:rFonts w:ascii="Times New Roman" w:hAnsi="Times New Roman"/>
              </w:rPr>
            </w:pPr>
          </w:p>
        </w:tc>
        <w:tc>
          <w:tcPr>
            <w:tcW w:w="1030" w:type="pct"/>
            <w:shd w:val="clear" w:color="auto" w:fill="FFFF00"/>
          </w:tcPr>
          <w:p w:rsidR="00CF6DA1" w:rsidRPr="00BA321C" w:rsidRDefault="00007567"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Значение весового коэффициента субиндекса I2 ниже среднего</w:t>
            </w:r>
          </w:p>
        </w:tc>
        <w:tc>
          <w:tcPr>
            <w:tcW w:w="1030" w:type="pct"/>
            <w:shd w:val="clear" w:color="auto" w:fill="70AD47"/>
          </w:tcPr>
          <w:p w:rsidR="00CF6DA1" w:rsidRPr="00BA321C" w:rsidRDefault="00007567"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 xml:space="preserve">Значение весового коэффициента субиндекса I2 </w:t>
            </w:r>
            <w:r w:rsidR="00AA08A0" w:rsidRPr="00BA321C">
              <w:rPr>
                <w:rFonts w:ascii="Times New Roman" w:eastAsia="Times New Roman" w:hAnsi="Times New Roman"/>
                <w:sz w:val="24"/>
                <w:szCs w:val="24"/>
                <w:lang w:eastAsia="ru-RU"/>
              </w:rPr>
              <w:t>принимает максимальное значение</w:t>
            </w:r>
          </w:p>
        </w:tc>
        <w:tc>
          <w:tcPr>
            <w:tcW w:w="1031" w:type="pct"/>
            <w:shd w:val="clear" w:color="auto" w:fill="FFFF00"/>
          </w:tcPr>
          <w:p w:rsidR="00CF6DA1" w:rsidRPr="00BA321C" w:rsidRDefault="00AA08A0"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Значение весового коэффициента субиндекса I2 сопоставимо со значениями, характерными лоя Кластера 1</w:t>
            </w:r>
          </w:p>
        </w:tc>
      </w:tr>
      <w:tr w:rsidR="004F2991" w:rsidRPr="00BA321C" w:rsidTr="000020E1">
        <w:tc>
          <w:tcPr>
            <w:tcW w:w="1909" w:type="pct"/>
            <w:shd w:val="clear" w:color="auto" w:fill="auto"/>
          </w:tcPr>
          <w:p w:rsidR="00007567" w:rsidRPr="00BA321C" w:rsidRDefault="00007567" w:rsidP="00BA321C">
            <w:pPr>
              <w:shd w:val="clear" w:color="auto" w:fill="FFFFFF" w:themeFill="background1"/>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 xml:space="preserve">Институциональный потенциал ускоренного развития производительных сил </w:t>
            </w:r>
          </w:p>
          <w:p w:rsidR="00007567" w:rsidRPr="00BA321C" w:rsidRDefault="00007567" w:rsidP="00BA321C">
            <w:pPr>
              <w:shd w:val="clear" w:color="auto" w:fill="FFFFFF" w:themeFill="background1"/>
              <w:rPr>
                <w:rFonts w:ascii="Times New Roman" w:eastAsia="Times New Roman" w:hAnsi="Times New Roman"/>
                <w:sz w:val="24"/>
                <w:szCs w:val="24"/>
                <w:lang w:eastAsia="ru-RU"/>
              </w:rPr>
            </w:pPr>
          </w:p>
          <w:p w:rsidR="00CF6DA1" w:rsidRPr="00BA321C" w:rsidRDefault="00CF6DA1" w:rsidP="00BA321C">
            <w:pPr>
              <w:shd w:val="clear" w:color="auto" w:fill="FFFFFF" w:themeFill="background1"/>
              <w:rPr>
                <w:rFonts w:ascii="Times New Roman" w:hAnsi="Times New Roman"/>
              </w:rPr>
            </w:pPr>
          </w:p>
        </w:tc>
        <w:tc>
          <w:tcPr>
            <w:tcW w:w="1030" w:type="pct"/>
            <w:shd w:val="clear" w:color="auto" w:fill="92D050"/>
          </w:tcPr>
          <w:p w:rsidR="00CF6DA1" w:rsidRPr="00BA321C" w:rsidRDefault="00007567"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Высокий уровень (Значение весового коэффициента субиндекса I3</w:t>
            </w:r>
            <w:r w:rsidR="00A8332B" w:rsidRPr="00BA321C">
              <w:rPr>
                <w:rFonts w:ascii="Times New Roman" w:eastAsia="Times New Roman" w:hAnsi="Times New Roman"/>
                <w:sz w:val="24"/>
                <w:szCs w:val="24"/>
                <w:lang w:eastAsia="ru-RU"/>
              </w:rPr>
              <w:t xml:space="preserve"> наивысшее</w:t>
            </w:r>
            <w:r w:rsidRPr="00BA321C">
              <w:rPr>
                <w:rFonts w:ascii="Times New Roman" w:hAnsi="Times New Roman"/>
              </w:rPr>
              <w:t>)</w:t>
            </w:r>
          </w:p>
        </w:tc>
        <w:tc>
          <w:tcPr>
            <w:tcW w:w="1030" w:type="pct"/>
            <w:shd w:val="clear" w:color="auto" w:fill="FFFF00"/>
          </w:tcPr>
          <w:p w:rsidR="00CF6DA1" w:rsidRPr="00BA321C" w:rsidRDefault="00A8332B"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 xml:space="preserve">Средний уровень (Значение весового коэффициента субиндекса I3 </w:t>
            </w:r>
            <w:r w:rsidR="00AA08A0" w:rsidRPr="00BA321C">
              <w:rPr>
                <w:rFonts w:ascii="Times New Roman" w:eastAsia="Times New Roman" w:hAnsi="Times New Roman"/>
                <w:sz w:val="24"/>
                <w:szCs w:val="24"/>
                <w:lang w:eastAsia="ru-RU"/>
              </w:rPr>
              <w:t>оценивается как недостаточное для ускоренного развития</w:t>
            </w:r>
            <w:r w:rsidRPr="00BA321C">
              <w:rPr>
                <w:rFonts w:ascii="Times New Roman" w:hAnsi="Times New Roman"/>
              </w:rPr>
              <w:t>)</w:t>
            </w:r>
          </w:p>
        </w:tc>
        <w:tc>
          <w:tcPr>
            <w:tcW w:w="1031" w:type="pct"/>
            <w:shd w:val="clear" w:color="auto" w:fill="FF0000"/>
          </w:tcPr>
          <w:p w:rsidR="00CF6DA1" w:rsidRPr="00BA321C" w:rsidRDefault="00AA08A0" w:rsidP="00BA321C">
            <w:pPr>
              <w:shd w:val="clear" w:color="auto" w:fill="FFFFFF" w:themeFill="background1"/>
              <w:jc w:val="center"/>
              <w:rPr>
                <w:rFonts w:ascii="Times New Roman" w:hAnsi="Times New Roman"/>
              </w:rPr>
            </w:pPr>
            <w:r w:rsidRPr="00BA321C">
              <w:rPr>
                <w:rFonts w:ascii="Times New Roman" w:eastAsia="Times New Roman" w:hAnsi="Times New Roman"/>
                <w:sz w:val="24"/>
                <w:szCs w:val="24"/>
                <w:lang w:eastAsia="ru-RU"/>
              </w:rPr>
              <w:t>Низкий уровень (Значение весового коэффициента субиндекса I3 минимальное</w:t>
            </w:r>
            <w:r w:rsidRPr="00BA321C">
              <w:rPr>
                <w:rFonts w:ascii="Times New Roman" w:hAnsi="Times New Roman"/>
              </w:rPr>
              <w:t>)</w:t>
            </w:r>
          </w:p>
        </w:tc>
      </w:tr>
    </w:tbl>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lastRenderedPageBreak/>
        <w:t>Таблица 2.2.6 - Принадлежность к кластерам</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3241"/>
        <w:gridCol w:w="2342"/>
        <w:gridCol w:w="1634"/>
        <w:gridCol w:w="2098"/>
      </w:tblGrid>
      <w:tr w:rsidR="000020E1" w:rsidRPr="00BA321C" w:rsidTr="001050B4">
        <w:trPr>
          <w:cantSplit/>
        </w:trPr>
        <w:tc>
          <w:tcPr>
            <w:tcW w:w="4887" w:type="pct"/>
            <w:gridSpan w:val="4"/>
            <w:tcBorders>
              <w:top w:val="single" w:sz="16" w:space="0" w:color="000000"/>
              <w:left w:val="single" w:sz="16" w:space="0" w:color="000000"/>
              <w:bottom w:val="single" w:sz="16" w:space="0" w:color="000000"/>
              <w:right w:val="single" w:sz="16" w:space="0" w:color="000000"/>
            </w:tcBorders>
            <w:shd w:val="clear" w:color="auto" w:fill="FFFFFF"/>
            <w:vAlign w:val="bottom"/>
          </w:tcPr>
          <w:p w:rsidR="000020E1" w:rsidRPr="00BA321C" w:rsidRDefault="000020E1" w:rsidP="00BA321C">
            <w:pPr>
              <w:shd w:val="clear" w:color="auto" w:fill="FFFFFF" w:themeFill="background1"/>
              <w:autoSpaceDE w:val="0"/>
              <w:autoSpaceDN w:val="0"/>
              <w:adjustRightInd w:val="0"/>
              <w:spacing w:after="0" w:line="320" w:lineRule="atLeast"/>
              <w:ind w:left="60" w:right="60"/>
              <w:jc w:val="both"/>
              <w:rPr>
                <w:rFonts w:ascii="Arial" w:hAnsi="Arial" w:cs="Arial"/>
                <w:sz w:val="18"/>
                <w:szCs w:val="18"/>
                <w:lang w:eastAsia="ru-RU"/>
              </w:rPr>
            </w:pPr>
            <w:r w:rsidRPr="00BA321C">
              <w:rPr>
                <w:rFonts w:ascii="Times New Roman" w:hAnsi="Times New Roman"/>
                <w:sz w:val="28"/>
                <w:szCs w:val="28"/>
              </w:rPr>
              <w:t>Таблица 2.2.6 - Принадлежность к кластерам</w:t>
            </w:r>
          </w:p>
        </w:tc>
      </w:tr>
      <w:tr w:rsidR="000020E1" w:rsidRPr="00BA321C" w:rsidTr="001050B4">
        <w:trPr>
          <w:cantSplit/>
        </w:trPr>
        <w:tc>
          <w:tcPr>
            <w:tcW w:w="1700" w:type="pct"/>
            <w:tcBorders>
              <w:top w:val="single" w:sz="16" w:space="0" w:color="000000"/>
              <w:left w:val="single" w:sz="16" w:space="0" w:color="000000"/>
              <w:bottom w:val="single" w:sz="16" w:space="0" w:color="000000"/>
              <w:right w:val="single" w:sz="16" w:space="0" w:color="000000"/>
            </w:tcBorders>
            <w:shd w:val="clear" w:color="auto" w:fill="FFFFFF"/>
            <w:vAlign w:val="bottom"/>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Номер наблюдения</w:t>
            </w:r>
          </w:p>
        </w:tc>
        <w:tc>
          <w:tcPr>
            <w:tcW w:w="1229" w:type="pct"/>
            <w:tcBorders>
              <w:top w:val="single" w:sz="16" w:space="0" w:color="000000"/>
              <w:left w:val="single" w:sz="16" w:space="0" w:color="000000"/>
              <w:bottom w:val="single" w:sz="16" w:space="0" w:color="000000"/>
            </w:tcBorders>
            <w:shd w:val="clear" w:color="auto" w:fill="FFFFFF"/>
            <w:vAlign w:val="bottom"/>
          </w:tcPr>
          <w:p w:rsidR="000020E1" w:rsidRPr="00BA321C" w:rsidRDefault="000020E1" w:rsidP="00BA321C">
            <w:pPr>
              <w:shd w:val="clear" w:color="auto" w:fill="FFFFFF" w:themeFill="background1"/>
              <w:autoSpaceDE w:val="0"/>
              <w:autoSpaceDN w:val="0"/>
              <w:adjustRightInd w:val="0"/>
              <w:spacing w:after="0" w:line="320" w:lineRule="atLeast"/>
              <w:ind w:left="60" w:right="60"/>
              <w:jc w:val="center"/>
              <w:rPr>
                <w:rFonts w:ascii="Arial" w:hAnsi="Arial" w:cs="Arial"/>
                <w:sz w:val="18"/>
                <w:szCs w:val="18"/>
                <w:lang w:eastAsia="ru-RU"/>
              </w:rPr>
            </w:pPr>
            <w:r w:rsidRPr="00BA321C">
              <w:rPr>
                <w:rFonts w:ascii="Arial" w:hAnsi="Arial" w:cs="Arial"/>
                <w:sz w:val="18"/>
                <w:szCs w:val="18"/>
                <w:lang w:eastAsia="ru-RU"/>
              </w:rPr>
              <w:t>Регион</w:t>
            </w:r>
          </w:p>
        </w:tc>
        <w:tc>
          <w:tcPr>
            <w:tcW w:w="857" w:type="pct"/>
            <w:tcBorders>
              <w:top w:val="single" w:sz="16" w:space="0" w:color="000000"/>
              <w:bottom w:val="single" w:sz="16" w:space="0" w:color="000000"/>
            </w:tcBorders>
            <w:shd w:val="clear" w:color="auto" w:fill="FFFFFF"/>
            <w:vAlign w:val="bottom"/>
          </w:tcPr>
          <w:p w:rsidR="000020E1" w:rsidRPr="00BA321C" w:rsidRDefault="000020E1" w:rsidP="00BA321C">
            <w:pPr>
              <w:shd w:val="clear" w:color="auto" w:fill="FFFFFF" w:themeFill="background1"/>
              <w:autoSpaceDE w:val="0"/>
              <w:autoSpaceDN w:val="0"/>
              <w:adjustRightInd w:val="0"/>
              <w:spacing w:after="0" w:line="320" w:lineRule="atLeast"/>
              <w:ind w:left="60" w:right="60"/>
              <w:jc w:val="center"/>
              <w:rPr>
                <w:rFonts w:ascii="Arial" w:hAnsi="Arial" w:cs="Arial"/>
                <w:sz w:val="18"/>
                <w:szCs w:val="18"/>
                <w:lang w:eastAsia="ru-RU"/>
              </w:rPr>
            </w:pPr>
            <w:r w:rsidRPr="00BA321C">
              <w:rPr>
                <w:rFonts w:ascii="Arial" w:hAnsi="Arial" w:cs="Arial"/>
                <w:sz w:val="18"/>
                <w:szCs w:val="18"/>
                <w:lang w:eastAsia="ru-RU"/>
              </w:rPr>
              <w:t>Кластер</w:t>
            </w:r>
          </w:p>
        </w:tc>
        <w:tc>
          <w:tcPr>
            <w:tcW w:w="1101" w:type="pct"/>
            <w:tcBorders>
              <w:top w:val="single" w:sz="16" w:space="0" w:color="000000"/>
              <w:bottom w:val="single" w:sz="16" w:space="0" w:color="000000"/>
              <w:right w:val="single" w:sz="16" w:space="0" w:color="000000"/>
            </w:tcBorders>
            <w:shd w:val="clear" w:color="auto" w:fill="FFFFFF"/>
            <w:vAlign w:val="bottom"/>
          </w:tcPr>
          <w:p w:rsidR="000020E1" w:rsidRPr="00BA321C" w:rsidRDefault="000020E1" w:rsidP="00BA321C">
            <w:pPr>
              <w:shd w:val="clear" w:color="auto" w:fill="FFFFFF" w:themeFill="background1"/>
              <w:autoSpaceDE w:val="0"/>
              <w:autoSpaceDN w:val="0"/>
              <w:adjustRightInd w:val="0"/>
              <w:spacing w:after="0" w:line="320" w:lineRule="atLeast"/>
              <w:ind w:left="60" w:right="60"/>
              <w:jc w:val="center"/>
              <w:rPr>
                <w:rFonts w:ascii="Arial" w:hAnsi="Arial" w:cs="Arial"/>
                <w:sz w:val="18"/>
                <w:szCs w:val="18"/>
                <w:lang w:eastAsia="ru-RU"/>
              </w:rPr>
            </w:pPr>
            <w:r w:rsidRPr="00BA321C">
              <w:rPr>
                <w:rFonts w:ascii="Arial" w:hAnsi="Arial" w:cs="Arial"/>
                <w:sz w:val="18"/>
                <w:szCs w:val="18"/>
                <w:lang w:eastAsia="ru-RU"/>
              </w:rPr>
              <w:t>Расстояние</w:t>
            </w:r>
          </w:p>
        </w:tc>
      </w:tr>
      <w:tr w:rsidR="000020E1" w:rsidRPr="00BA321C" w:rsidTr="001050B4">
        <w:trPr>
          <w:cantSplit/>
        </w:trPr>
        <w:tc>
          <w:tcPr>
            <w:tcW w:w="1700" w:type="pct"/>
            <w:tcBorders>
              <w:top w:val="single" w:sz="16" w:space="0" w:color="000000"/>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w:t>
            </w:r>
          </w:p>
        </w:tc>
        <w:tc>
          <w:tcPr>
            <w:tcW w:w="1229" w:type="pct"/>
            <w:tcBorders>
              <w:top w:val="single" w:sz="16" w:space="0" w:color="000000"/>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Республика Тата</w:t>
            </w:r>
            <w:r w:rsidRPr="00BA321C">
              <w:rPr>
                <w:rFonts w:ascii="Tahoma" w:hAnsi="Tahoma" w:cs="Tahoma"/>
                <w:sz w:val="18"/>
                <w:szCs w:val="18"/>
                <w:lang w:eastAsia="ru-RU"/>
              </w:rPr>
              <w:t>рстан</w:t>
            </w:r>
          </w:p>
        </w:tc>
        <w:tc>
          <w:tcPr>
            <w:tcW w:w="857" w:type="pct"/>
            <w:tcBorders>
              <w:top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single" w:sz="16" w:space="0" w:color="000000"/>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,104</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2</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Республика Башк</w:t>
            </w:r>
            <w:r w:rsidRPr="00BA321C">
              <w:rPr>
                <w:rFonts w:ascii="Tahoma" w:hAnsi="Tahoma" w:cs="Tahoma"/>
                <w:sz w:val="18"/>
                <w:szCs w:val="18"/>
                <w:lang w:eastAsia="ru-RU"/>
              </w:rPr>
              <w:t>ортостан</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,030</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3</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Нижегородская о</w:t>
            </w:r>
            <w:r w:rsidRPr="00BA321C">
              <w:rPr>
                <w:rFonts w:ascii="Tahoma" w:hAnsi="Tahoma" w:cs="Tahoma"/>
                <w:sz w:val="18"/>
                <w:szCs w:val="18"/>
                <w:lang w:eastAsia="ru-RU"/>
              </w:rPr>
              <w:t>бласть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,029</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4</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Самарская облас</w:t>
            </w:r>
            <w:r w:rsidRPr="00BA321C">
              <w:rPr>
                <w:rFonts w:ascii="Tahoma" w:hAnsi="Tahoma" w:cs="Tahoma"/>
                <w:sz w:val="18"/>
                <w:szCs w:val="18"/>
                <w:lang w:eastAsia="ru-RU"/>
              </w:rPr>
              <w:t>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,039</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5</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Саратовская обл</w:t>
            </w:r>
            <w:r w:rsidRPr="00BA321C">
              <w:rPr>
                <w:rFonts w:ascii="Tahoma" w:hAnsi="Tahoma" w:cs="Tahoma"/>
                <w:sz w:val="18"/>
                <w:szCs w:val="18"/>
                <w:lang w:eastAsia="ru-RU"/>
              </w:rPr>
              <w:t>асть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,087</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6</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Пермский край</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1</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,070</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7</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Республика Морд</w:t>
            </w:r>
            <w:r w:rsidRPr="00BA321C">
              <w:rPr>
                <w:rFonts w:ascii="Tahoma" w:hAnsi="Tahoma" w:cs="Tahoma"/>
                <w:sz w:val="18"/>
                <w:szCs w:val="18"/>
                <w:lang w:eastAsia="ru-RU"/>
              </w:rPr>
              <w:t>овия</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2</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,020</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8</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Ульяновская обл</w:t>
            </w:r>
            <w:r w:rsidRPr="00BA321C">
              <w:rPr>
                <w:rFonts w:ascii="Tahoma" w:hAnsi="Tahoma" w:cs="Tahoma"/>
                <w:sz w:val="18"/>
                <w:szCs w:val="18"/>
                <w:lang w:eastAsia="ru-RU"/>
              </w:rPr>
              <w:t>асть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3</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,067</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9</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Чувашская Респу</w:t>
            </w:r>
            <w:r w:rsidRPr="00BA321C">
              <w:rPr>
                <w:rFonts w:ascii="Tahoma" w:hAnsi="Tahoma" w:cs="Tahoma"/>
                <w:sz w:val="18"/>
                <w:szCs w:val="18"/>
                <w:lang w:eastAsia="ru-RU"/>
              </w:rPr>
              <w:t>блика</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2</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,034</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10</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Оренбургская об</w:t>
            </w:r>
            <w:r w:rsidRPr="00BA321C">
              <w:rPr>
                <w:rFonts w:ascii="Tahoma" w:hAnsi="Tahoma" w:cs="Tahoma"/>
                <w:sz w:val="18"/>
                <w:szCs w:val="18"/>
                <w:lang w:eastAsia="ru-RU"/>
              </w:rPr>
              <w:t>ласть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3</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,025</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11</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Удмуртская Респ</w:t>
            </w:r>
            <w:r w:rsidRPr="00BA321C">
              <w:rPr>
                <w:rFonts w:ascii="Tahoma" w:hAnsi="Tahoma" w:cs="Tahoma"/>
                <w:sz w:val="18"/>
                <w:szCs w:val="18"/>
                <w:lang w:eastAsia="ru-RU"/>
              </w:rPr>
              <w:t>ублика</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3</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,046</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12</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Кировская облас</w:t>
            </w:r>
            <w:r w:rsidRPr="00BA321C">
              <w:rPr>
                <w:rFonts w:ascii="Tahoma" w:hAnsi="Tahoma" w:cs="Tahoma"/>
                <w:sz w:val="18"/>
                <w:szCs w:val="18"/>
                <w:lang w:eastAsia="ru-RU"/>
              </w:rPr>
              <w:t>ть</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2</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,023</w:t>
            </w:r>
          </w:p>
        </w:tc>
      </w:tr>
      <w:tr w:rsidR="000020E1" w:rsidRPr="00BA321C" w:rsidTr="001050B4">
        <w:trPr>
          <w:cantSplit/>
        </w:trPr>
        <w:tc>
          <w:tcPr>
            <w:tcW w:w="1700" w:type="pct"/>
            <w:tcBorders>
              <w:top w:val="nil"/>
              <w:left w:val="single" w:sz="16" w:space="0" w:color="000000"/>
              <w:bottom w:val="nil"/>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13</w:t>
            </w:r>
          </w:p>
        </w:tc>
        <w:tc>
          <w:tcPr>
            <w:tcW w:w="1229" w:type="pct"/>
            <w:tcBorders>
              <w:top w:val="nil"/>
              <w:left w:val="single" w:sz="16" w:space="0" w:color="000000"/>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Республика Мари</w:t>
            </w:r>
            <w:r w:rsidRPr="00BA321C">
              <w:rPr>
                <w:rFonts w:ascii="Tahoma" w:hAnsi="Tahoma" w:cs="Tahoma"/>
                <w:sz w:val="18"/>
                <w:szCs w:val="18"/>
                <w:lang w:eastAsia="ru-RU"/>
              </w:rPr>
              <w:t xml:space="preserve"> Эл</w:t>
            </w:r>
          </w:p>
        </w:tc>
        <w:tc>
          <w:tcPr>
            <w:tcW w:w="857" w:type="pct"/>
            <w:tcBorders>
              <w:top w:val="nil"/>
              <w:bottom w:val="nil"/>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2</w:t>
            </w:r>
          </w:p>
        </w:tc>
        <w:tc>
          <w:tcPr>
            <w:tcW w:w="1101" w:type="pct"/>
            <w:tcBorders>
              <w:top w:val="nil"/>
              <w:bottom w:val="nil"/>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,047</w:t>
            </w:r>
          </w:p>
        </w:tc>
      </w:tr>
      <w:tr w:rsidR="000020E1" w:rsidRPr="00BA321C" w:rsidTr="001050B4">
        <w:trPr>
          <w:cantSplit/>
        </w:trPr>
        <w:tc>
          <w:tcPr>
            <w:tcW w:w="1700" w:type="pct"/>
            <w:tcBorders>
              <w:top w:val="nil"/>
              <w:left w:val="single" w:sz="16" w:space="0" w:color="000000"/>
              <w:bottom w:val="single" w:sz="16" w:space="0" w:color="000000"/>
              <w:right w:val="single" w:sz="16" w:space="0" w:color="000000"/>
            </w:tcBorders>
            <w:shd w:val="clear" w:color="auto" w:fill="FFFFFF"/>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14</w:t>
            </w:r>
          </w:p>
        </w:tc>
        <w:tc>
          <w:tcPr>
            <w:tcW w:w="1229" w:type="pct"/>
            <w:tcBorders>
              <w:top w:val="nil"/>
              <w:left w:val="single" w:sz="16" w:space="0" w:color="000000"/>
              <w:bottom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rPr>
                <w:rFonts w:ascii="Arial" w:hAnsi="Arial" w:cs="Arial"/>
                <w:sz w:val="18"/>
                <w:szCs w:val="18"/>
                <w:lang w:eastAsia="ru-RU"/>
              </w:rPr>
            </w:pPr>
            <w:r w:rsidRPr="00BA321C">
              <w:rPr>
                <w:rFonts w:ascii="Arial" w:hAnsi="Arial" w:cs="Arial"/>
                <w:sz w:val="18"/>
                <w:szCs w:val="18"/>
                <w:lang w:eastAsia="ru-RU"/>
              </w:rPr>
              <w:t>Пензенская обла</w:t>
            </w:r>
            <w:r w:rsidRPr="00BA321C">
              <w:rPr>
                <w:rFonts w:ascii="Tahoma" w:hAnsi="Tahoma" w:cs="Tahoma"/>
                <w:sz w:val="18"/>
                <w:szCs w:val="18"/>
                <w:lang w:eastAsia="ru-RU"/>
              </w:rPr>
              <w:t>сть</w:t>
            </w:r>
          </w:p>
        </w:tc>
        <w:tc>
          <w:tcPr>
            <w:tcW w:w="857" w:type="pct"/>
            <w:tcBorders>
              <w:top w:val="nil"/>
              <w:bottom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3</w:t>
            </w:r>
          </w:p>
        </w:tc>
        <w:tc>
          <w:tcPr>
            <w:tcW w:w="1101" w:type="pct"/>
            <w:tcBorders>
              <w:top w:val="nil"/>
              <w:bottom w:val="single" w:sz="16" w:space="0" w:color="000000"/>
              <w:right w:val="single" w:sz="16" w:space="0" w:color="000000"/>
            </w:tcBorders>
            <w:shd w:val="clear" w:color="auto" w:fill="FFFFFF"/>
            <w:vAlign w:val="center"/>
          </w:tcPr>
          <w:p w:rsidR="000020E1" w:rsidRPr="00BA321C" w:rsidRDefault="000020E1" w:rsidP="00BA321C">
            <w:pPr>
              <w:shd w:val="clear" w:color="auto" w:fill="FFFFFF" w:themeFill="background1"/>
              <w:autoSpaceDE w:val="0"/>
              <w:autoSpaceDN w:val="0"/>
              <w:adjustRightInd w:val="0"/>
              <w:spacing w:after="0" w:line="320" w:lineRule="atLeast"/>
              <w:ind w:left="60" w:right="60"/>
              <w:jc w:val="right"/>
              <w:rPr>
                <w:rFonts w:ascii="Arial" w:hAnsi="Arial" w:cs="Arial"/>
                <w:sz w:val="18"/>
                <w:szCs w:val="18"/>
                <w:lang w:eastAsia="ru-RU"/>
              </w:rPr>
            </w:pPr>
            <w:r w:rsidRPr="00BA321C">
              <w:rPr>
                <w:rFonts w:ascii="Arial" w:hAnsi="Arial" w:cs="Arial"/>
                <w:sz w:val="18"/>
                <w:szCs w:val="18"/>
                <w:lang w:eastAsia="ru-RU"/>
              </w:rPr>
              <w:t>,099</w:t>
            </w:r>
          </w:p>
        </w:tc>
      </w:tr>
    </w:tbl>
    <w:p w:rsidR="000020E1" w:rsidRPr="00BA321C" w:rsidRDefault="000020E1" w:rsidP="00BA321C">
      <w:pPr>
        <w:shd w:val="clear" w:color="auto" w:fill="FFFFFF" w:themeFill="background1"/>
        <w:spacing w:after="0" w:line="360" w:lineRule="auto"/>
        <w:ind w:firstLine="993"/>
        <w:jc w:val="both"/>
        <w:rPr>
          <w:rFonts w:ascii="Times New Roman" w:hAnsi="Times New Roman"/>
          <w:sz w:val="28"/>
          <w:szCs w:val="28"/>
        </w:rPr>
      </w:pPr>
    </w:p>
    <w:p w:rsidR="00AA08A0" w:rsidRPr="00BA321C" w:rsidRDefault="00AA08A0"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Проведенный анализ, учитывающий качественные параметры развития социально-экономической привлекательности регионов ПФО на основе оценки весовых коэффициентов субиндексов выявил три укрупненные группы регионов:</w:t>
      </w:r>
    </w:p>
    <w:p w:rsidR="00CF6DA1" w:rsidRPr="00BA321C" w:rsidRDefault="002A074E"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Кластер </w:t>
      </w:r>
      <w:r w:rsidR="00AA08A0" w:rsidRPr="00BA321C">
        <w:rPr>
          <w:rFonts w:ascii="Times New Roman" w:hAnsi="Times New Roman"/>
          <w:sz w:val="28"/>
          <w:szCs w:val="28"/>
        </w:rPr>
        <w:t xml:space="preserve">1. Регионы, обладающие высоким уровнем ресурсной базы, сочетающейся </w:t>
      </w:r>
      <w:r w:rsidR="00B27493" w:rsidRPr="00BA321C">
        <w:rPr>
          <w:rFonts w:ascii="Times New Roman" w:hAnsi="Times New Roman"/>
          <w:sz w:val="28"/>
          <w:szCs w:val="28"/>
        </w:rPr>
        <w:t xml:space="preserve">с </w:t>
      </w:r>
      <w:r w:rsidR="00AA08A0" w:rsidRPr="00BA321C">
        <w:rPr>
          <w:rFonts w:ascii="Times New Roman" w:hAnsi="Times New Roman"/>
          <w:sz w:val="28"/>
          <w:szCs w:val="28"/>
        </w:rPr>
        <w:t>высоким уровнем институциональной базы, способствующей ускоренному развитию экономики</w:t>
      </w:r>
      <w:r w:rsidR="00B27493" w:rsidRPr="00BA321C">
        <w:rPr>
          <w:rFonts w:ascii="Times New Roman" w:hAnsi="Times New Roman"/>
          <w:sz w:val="28"/>
          <w:szCs w:val="28"/>
        </w:rPr>
        <w:t xml:space="preserve"> на базе прогрессивных производительных сил</w:t>
      </w:r>
      <w:r w:rsidR="00AA08A0" w:rsidRPr="00BA321C">
        <w:rPr>
          <w:rFonts w:ascii="Times New Roman" w:hAnsi="Times New Roman"/>
          <w:sz w:val="28"/>
          <w:szCs w:val="28"/>
        </w:rPr>
        <w:t xml:space="preserve">. </w:t>
      </w:r>
      <w:r w:rsidR="00007567" w:rsidRPr="00BA321C">
        <w:rPr>
          <w:rFonts w:ascii="Times New Roman" w:hAnsi="Times New Roman"/>
          <w:sz w:val="28"/>
          <w:szCs w:val="28"/>
        </w:rPr>
        <w:t xml:space="preserve">Преобладающий тип развития регионов первого кластера </w:t>
      </w:r>
      <w:r w:rsidR="000D66A7" w:rsidRPr="00BA321C">
        <w:rPr>
          <w:rFonts w:ascii="Times New Roman" w:hAnsi="Times New Roman"/>
          <w:sz w:val="28"/>
          <w:szCs w:val="28"/>
        </w:rPr>
        <w:t>–</w:t>
      </w:r>
      <w:r w:rsidR="00007567" w:rsidRPr="00BA321C">
        <w:rPr>
          <w:rFonts w:ascii="Times New Roman" w:hAnsi="Times New Roman"/>
          <w:sz w:val="28"/>
          <w:szCs w:val="28"/>
        </w:rPr>
        <w:t xml:space="preserve"> интенсивный</w:t>
      </w:r>
      <w:r w:rsidR="000D66A7" w:rsidRPr="00BA321C">
        <w:rPr>
          <w:rFonts w:ascii="Times New Roman" w:hAnsi="Times New Roman"/>
          <w:sz w:val="28"/>
          <w:szCs w:val="28"/>
        </w:rPr>
        <w:t>. В данную группу входят Республика Татарстан, Республика Башкортостан, Нижегородская область, Самарская область и Саратовская область.</w:t>
      </w:r>
    </w:p>
    <w:p w:rsidR="000D66A7" w:rsidRPr="00BA321C" w:rsidRDefault="002A074E"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Кластер </w:t>
      </w:r>
      <w:r w:rsidR="000D66A7" w:rsidRPr="00BA321C">
        <w:rPr>
          <w:rFonts w:ascii="Times New Roman" w:hAnsi="Times New Roman"/>
          <w:sz w:val="28"/>
          <w:szCs w:val="28"/>
        </w:rPr>
        <w:t xml:space="preserve">2. </w:t>
      </w:r>
      <w:r w:rsidR="00117673" w:rsidRPr="00BA321C">
        <w:rPr>
          <w:rFonts w:ascii="Times New Roman" w:hAnsi="Times New Roman"/>
          <w:sz w:val="28"/>
          <w:szCs w:val="28"/>
        </w:rPr>
        <w:t xml:space="preserve">Регионы, вошедшие в данный кластер (Республика Мордовия, Чувашская Республика, Кировская область и Республика Мари Эл) характеризуются низким уровнем ресурсно-инфраструктурной базы, и не достаточным потенциалом влияния на динамику индекса СЭП институциональных факторов, способствующих инновационно-модернизационным преобразованиям в экономике. Однако регионы </w:t>
      </w:r>
      <w:r w:rsidR="00117673" w:rsidRPr="00BA321C">
        <w:rPr>
          <w:rFonts w:ascii="Times New Roman" w:hAnsi="Times New Roman"/>
          <w:sz w:val="28"/>
          <w:szCs w:val="28"/>
        </w:rPr>
        <w:lastRenderedPageBreak/>
        <w:t>рассматриваемой группы обладают наивысшим потенциалом развития производительных сил с позиции благоприятствования социальной базы.</w:t>
      </w:r>
    </w:p>
    <w:p w:rsidR="000D66A7" w:rsidRPr="00BA321C" w:rsidRDefault="002A074E"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Кластер </w:t>
      </w:r>
      <w:r w:rsidR="000D66A7" w:rsidRPr="00BA321C">
        <w:rPr>
          <w:rFonts w:ascii="Times New Roman" w:hAnsi="Times New Roman"/>
          <w:sz w:val="28"/>
          <w:szCs w:val="28"/>
        </w:rPr>
        <w:t xml:space="preserve">3. Регионы, характеризующиеся наименьшим потенциалом институционального развития, способствующего технологическим инновационным сдвигам. При этом социально-экономическая привлекательность регионов данной группы определяется высоким уровнем ресурсно-инфраструктурной базы. Преобладающий тип развития регионов кластера – экстенсивный. Регионы кластера: Ульяновская область, Оренбургская область, Удмуртская Республика и Пензенская область. </w:t>
      </w:r>
    </w:p>
    <w:p w:rsidR="005B6603" w:rsidRPr="00BA321C" w:rsidRDefault="005745AF"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З</w:t>
      </w:r>
      <w:r w:rsidR="005B6603" w:rsidRPr="00BA321C">
        <w:rPr>
          <w:rFonts w:ascii="Times New Roman" w:hAnsi="Times New Roman"/>
          <w:sz w:val="28"/>
          <w:szCs w:val="28"/>
        </w:rPr>
        <w:t xml:space="preserve">аложенный в методологический аппарат исследования, инструментарий, обеспечивающий реализацию факторного анализа, позволяет выявлять «вклад» каждого субиндекса в траекторию </w:t>
      </w:r>
      <w:r w:rsidR="00F1336A" w:rsidRPr="00BA321C">
        <w:rPr>
          <w:rFonts w:ascii="Times New Roman" w:hAnsi="Times New Roman"/>
          <w:sz w:val="28"/>
          <w:szCs w:val="28"/>
        </w:rPr>
        <w:t>индекса социально-экономической привлекательности региона</w:t>
      </w:r>
      <w:r w:rsidR="005B6603" w:rsidRPr="00BA321C">
        <w:rPr>
          <w:rFonts w:ascii="Times New Roman" w:hAnsi="Times New Roman"/>
          <w:sz w:val="28"/>
          <w:szCs w:val="28"/>
        </w:rPr>
        <w:t xml:space="preserve">. </w:t>
      </w:r>
    </w:p>
    <w:p w:rsidR="005B6603" w:rsidRPr="00BA321C" w:rsidRDefault="005B6603"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В соответствии с представленными </w:t>
      </w:r>
      <w:r w:rsidR="00F1336A" w:rsidRPr="00BA321C">
        <w:rPr>
          <w:rFonts w:ascii="Times New Roman" w:hAnsi="Times New Roman"/>
          <w:sz w:val="28"/>
          <w:szCs w:val="28"/>
        </w:rPr>
        <w:t>в</w:t>
      </w:r>
      <w:r w:rsidRPr="00BA321C">
        <w:rPr>
          <w:rFonts w:ascii="Times New Roman" w:hAnsi="Times New Roman"/>
          <w:sz w:val="28"/>
          <w:szCs w:val="28"/>
        </w:rPr>
        <w:t xml:space="preserve"> </w:t>
      </w:r>
      <w:r w:rsidR="00F1336A" w:rsidRPr="00BA321C">
        <w:rPr>
          <w:rFonts w:ascii="Times New Roman" w:hAnsi="Times New Roman"/>
          <w:sz w:val="28"/>
          <w:szCs w:val="28"/>
        </w:rPr>
        <w:t xml:space="preserve">таблицах </w:t>
      </w:r>
      <w:r w:rsidR="00C552A8" w:rsidRPr="00BA321C">
        <w:rPr>
          <w:rFonts w:ascii="Times New Roman" w:hAnsi="Times New Roman"/>
          <w:sz w:val="28"/>
          <w:szCs w:val="28"/>
        </w:rPr>
        <w:t>2.2.7</w:t>
      </w:r>
      <w:r w:rsidR="00F1336A" w:rsidRPr="00BA321C">
        <w:rPr>
          <w:rFonts w:ascii="Times New Roman" w:hAnsi="Times New Roman"/>
          <w:sz w:val="28"/>
          <w:szCs w:val="28"/>
        </w:rPr>
        <w:t>-</w:t>
      </w:r>
      <w:r w:rsidR="00C552A8" w:rsidRPr="00BA321C">
        <w:rPr>
          <w:rFonts w:ascii="Times New Roman" w:hAnsi="Times New Roman"/>
          <w:sz w:val="28"/>
          <w:szCs w:val="28"/>
        </w:rPr>
        <w:t>2.2.9</w:t>
      </w:r>
      <w:r w:rsidRPr="00BA321C">
        <w:rPr>
          <w:rFonts w:ascii="Times New Roman" w:hAnsi="Times New Roman"/>
          <w:sz w:val="28"/>
          <w:szCs w:val="28"/>
        </w:rPr>
        <w:t xml:space="preserve"> </w:t>
      </w:r>
      <w:r w:rsidR="00F1336A" w:rsidRPr="00BA321C">
        <w:rPr>
          <w:rFonts w:ascii="Times New Roman" w:hAnsi="Times New Roman"/>
          <w:sz w:val="28"/>
          <w:szCs w:val="28"/>
        </w:rPr>
        <w:t xml:space="preserve">данными о количественных оценках, соответствующих субиндексов, формирующих динамические ряды региональных индексов СЭП, </w:t>
      </w:r>
      <w:r w:rsidRPr="00BA321C">
        <w:rPr>
          <w:rFonts w:ascii="Times New Roman" w:hAnsi="Times New Roman"/>
          <w:sz w:val="28"/>
          <w:szCs w:val="28"/>
        </w:rPr>
        <w:t>можно наблюдать некоторую разобщенность трендов и направлений их развития.</w:t>
      </w:r>
    </w:p>
    <w:p w:rsidR="00F44902" w:rsidRPr="00BA321C" w:rsidRDefault="00F44902" w:rsidP="00BA321C">
      <w:pPr>
        <w:shd w:val="clear" w:color="auto" w:fill="FFFFFF" w:themeFill="background1"/>
        <w:spacing w:after="0" w:line="360" w:lineRule="auto"/>
        <w:jc w:val="both"/>
        <w:rPr>
          <w:rFonts w:ascii="Times New Roman" w:hAnsi="Times New Roman"/>
          <w:sz w:val="28"/>
          <w:szCs w:val="28"/>
          <w:lang w:eastAsia="ru-RU"/>
        </w:rPr>
      </w:pPr>
    </w:p>
    <w:p w:rsidR="00F44902" w:rsidRPr="00BA321C" w:rsidRDefault="00F44902"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 xml:space="preserve">Таблица </w:t>
      </w:r>
      <w:r w:rsidR="00C552A8" w:rsidRPr="00BA321C">
        <w:rPr>
          <w:rFonts w:ascii="Times New Roman" w:hAnsi="Times New Roman"/>
          <w:sz w:val="28"/>
          <w:szCs w:val="28"/>
          <w:lang w:eastAsia="ru-RU"/>
        </w:rPr>
        <w:t>2.2.7</w:t>
      </w:r>
      <w:r w:rsidRPr="00BA321C">
        <w:rPr>
          <w:rFonts w:ascii="Times New Roman" w:hAnsi="Times New Roman"/>
          <w:sz w:val="28"/>
          <w:szCs w:val="28"/>
          <w:lang w:eastAsia="ru-RU"/>
        </w:rPr>
        <w:t xml:space="preserve"> – Значения и динамика прироста региональных субиндексов СЭП, определяющих ресурсно-инфраструктурный потенциал регионов за период с 2005 по 2014гг.</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6"/>
        <w:gridCol w:w="706"/>
        <w:gridCol w:w="689"/>
        <w:gridCol w:w="689"/>
        <w:gridCol w:w="695"/>
        <w:gridCol w:w="687"/>
        <w:gridCol w:w="689"/>
        <w:gridCol w:w="716"/>
        <w:gridCol w:w="689"/>
        <w:gridCol w:w="689"/>
        <w:gridCol w:w="689"/>
        <w:gridCol w:w="693"/>
      </w:tblGrid>
      <w:tr w:rsidR="00F1336A" w:rsidRPr="00BA321C" w:rsidTr="00F1336A">
        <w:trPr>
          <w:trHeight w:val="300"/>
        </w:trPr>
        <w:tc>
          <w:tcPr>
            <w:tcW w:w="99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2007</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2008</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2010</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2014</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Прирост</w:t>
            </w:r>
            <w:r w:rsidR="00F44902" w:rsidRPr="00BA321C">
              <w:rPr>
                <w:rFonts w:ascii="Times New Roman" w:eastAsia="Times New Roman" w:hAnsi="Times New Roman"/>
                <w:sz w:val="20"/>
                <w:szCs w:val="20"/>
                <w:lang w:eastAsia="ru-RU"/>
              </w:rPr>
              <w:t xml:space="preserve"> </w:t>
            </w:r>
            <w:r w:rsidRPr="00BA321C">
              <w:rPr>
                <w:rFonts w:ascii="Times New Roman" w:eastAsia="Times New Roman" w:hAnsi="Times New Roman"/>
                <w:sz w:val="20"/>
                <w:szCs w:val="20"/>
                <w:lang w:eastAsia="ru-RU"/>
              </w:rPr>
              <w:t>2014г к 2005г %</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Татарстан</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57,6</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65,6</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67,0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66,9</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67,8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70,6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73,9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72,6</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62,1</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Самарская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60,6</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67,0</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60,8</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62,5</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32,3</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Нижегородская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45,6</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52,9</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55,2</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54,7</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54,5</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56,1</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Пермский край</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35,2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42,2</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50,2</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49,7</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54,0</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51,7</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62,1</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Башкортостан</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35,5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45,0</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51,3</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50,5</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49,4</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51,4</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51,5</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45,0</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Саратовская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36,0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42,5</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47,0</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47,8</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45,7</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47,8</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33,0</w:t>
            </w:r>
          </w:p>
        </w:tc>
      </w:tr>
      <w:tr w:rsidR="00F1336A" w:rsidRPr="00BA321C" w:rsidTr="00C35E98">
        <w:trPr>
          <w:trHeight w:val="300"/>
        </w:trPr>
        <w:tc>
          <w:tcPr>
            <w:tcW w:w="991" w:type="pct"/>
            <w:tcBorders>
              <w:bottom w:val="nil"/>
            </w:tcBorders>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Оренбургская область</w:t>
            </w:r>
          </w:p>
        </w:tc>
        <w:tc>
          <w:tcPr>
            <w:tcW w:w="371"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27,4</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29,2</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34,1</w:t>
            </w:r>
          </w:p>
        </w:tc>
        <w:tc>
          <w:tcPr>
            <w:tcW w:w="365"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37,0</w:t>
            </w:r>
          </w:p>
        </w:tc>
        <w:tc>
          <w:tcPr>
            <w:tcW w:w="361"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40,5</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41,4</w:t>
            </w:r>
          </w:p>
        </w:tc>
        <w:tc>
          <w:tcPr>
            <w:tcW w:w="376"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38,6</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38,0</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39,6</w:t>
            </w:r>
          </w:p>
        </w:tc>
        <w:tc>
          <w:tcPr>
            <w:tcW w:w="362"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39,5</w:t>
            </w:r>
          </w:p>
        </w:tc>
        <w:tc>
          <w:tcPr>
            <w:tcW w:w="363" w:type="pct"/>
            <w:tcBorders>
              <w:bottom w:val="nil"/>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44,2</w:t>
            </w:r>
          </w:p>
        </w:tc>
      </w:tr>
      <w:tr w:rsidR="00C35E98" w:rsidRPr="00BA321C" w:rsidTr="00C35E98">
        <w:trPr>
          <w:trHeight w:val="300"/>
        </w:trPr>
        <w:tc>
          <w:tcPr>
            <w:tcW w:w="5000" w:type="pct"/>
            <w:gridSpan w:val="12"/>
            <w:tcBorders>
              <w:top w:val="nil"/>
              <w:left w:val="nil"/>
              <w:bottom w:val="single" w:sz="4" w:space="0" w:color="auto"/>
              <w:right w:val="nil"/>
            </w:tcBorders>
            <w:shd w:val="clear" w:color="auto" w:fill="auto"/>
            <w:noWrap/>
            <w:vAlign w:val="bottom"/>
          </w:tcPr>
          <w:p w:rsidR="00C35E98" w:rsidRPr="00BA321C" w:rsidRDefault="00C35E98" w:rsidP="00C35E98">
            <w:pPr>
              <w:shd w:val="clear" w:color="auto" w:fill="FFFFFF" w:themeFill="background1"/>
              <w:spacing w:after="0" w:line="240" w:lineRule="auto"/>
              <w:jc w:val="right"/>
              <w:rPr>
                <w:rFonts w:ascii="Times New Roman" w:eastAsia="Times New Roman" w:hAnsi="Times New Roman"/>
                <w:sz w:val="20"/>
                <w:szCs w:val="20"/>
                <w:lang w:eastAsia="ru-RU"/>
              </w:rPr>
            </w:pPr>
            <w:r w:rsidRPr="00C35E98">
              <w:rPr>
                <w:rFonts w:ascii="Times New Roman" w:eastAsia="Times New Roman" w:hAnsi="Times New Roman"/>
                <w:sz w:val="28"/>
                <w:szCs w:val="20"/>
                <w:lang w:eastAsia="ru-RU"/>
              </w:rPr>
              <w:lastRenderedPageBreak/>
              <w:t>Продолжение таблицы 2.2.7</w:t>
            </w:r>
          </w:p>
        </w:tc>
      </w:tr>
      <w:tr w:rsidR="00F1336A" w:rsidRPr="00BA321C" w:rsidTr="00C35E98">
        <w:trPr>
          <w:trHeight w:val="300"/>
        </w:trPr>
        <w:tc>
          <w:tcPr>
            <w:tcW w:w="991" w:type="pct"/>
            <w:tcBorders>
              <w:top w:val="single" w:sz="4" w:space="0" w:color="auto"/>
            </w:tcBorders>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Марий Эл</w:t>
            </w:r>
          </w:p>
        </w:tc>
        <w:tc>
          <w:tcPr>
            <w:tcW w:w="371"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21,1</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22,4</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25,2</w:t>
            </w:r>
          </w:p>
        </w:tc>
        <w:tc>
          <w:tcPr>
            <w:tcW w:w="365"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28,1</w:t>
            </w:r>
          </w:p>
        </w:tc>
        <w:tc>
          <w:tcPr>
            <w:tcW w:w="361"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29,2</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28,6</w:t>
            </w:r>
          </w:p>
        </w:tc>
        <w:tc>
          <w:tcPr>
            <w:tcW w:w="376"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31,8</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33,6</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35,3</w:t>
            </w:r>
          </w:p>
        </w:tc>
        <w:tc>
          <w:tcPr>
            <w:tcW w:w="362"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37,0</w:t>
            </w:r>
          </w:p>
        </w:tc>
        <w:tc>
          <w:tcPr>
            <w:tcW w:w="363" w:type="pct"/>
            <w:tcBorders>
              <w:top w:val="single" w:sz="4" w:space="0" w:color="auto"/>
            </w:tcBorders>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75,5</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Удмуртская Республика</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29,6</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32,4</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35,1</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33,6</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31,8</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Пензенская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22,1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27,0</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28,2</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35,2</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32,4</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33,2</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59,8</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Ульяновская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22,3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27,6</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33,2</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32,8</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30,9</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32,5</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45,9</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Чувашская Республика</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23,4</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27,4</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29,4</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31,9</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30,7</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30,5</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30,7</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30,6</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32,4</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Кировская область</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21,3</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23,1</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27,1</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28,8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29,4</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26,8</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27,5</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40,2</w:t>
            </w:r>
          </w:p>
        </w:tc>
      </w:tr>
      <w:tr w:rsidR="00F1336A" w:rsidRPr="00BA321C" w:rsidTr="00F44902">
        <w:trPr>
          <w:trHeight w:val="300"/>
        </w:trPr>
        <w:tc>
          <w:tcPr>
            <w:tcW w:w="991" w:type="pct"/>
            <w:shd w:val="clear" w:color="auto" w:fill="auto"/>
            <w:noWrap/>
            <w:vAlign w:val="bottom"/>
            <w:hideMark/>
          </w:tcPr>
          <w:p w:rsidR="00F1336A" w:rsidRPr="00BA321C" w:rsidRDefault="00F1336A"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Мордовия</w:t>
            </w:r>
          </w:p>
        </w:tc>
        <w:tc>
          <w:tcPr>
            <w:tcW w:w="37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18,1</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20,9</w:t>
            </w:r>
          </w:p>
        </w:tc>
        <w:tc>
          <w:tcPr>
            <w:tcW w:w="365"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24,9</w:t>
            </w:r>
          </w:p>
        </w:tc>
        <w:tc>
          <w:tcPr>
            <w:tcW w:w="361"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27,0</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27,4</w:t>
            </w:r>
          </w:p>
        </w:tc>
        <w:tc>
          <w:tcPr>
            <w:tcW w:w="376"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27,2</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27,6</w:t>
            </w:r>
          </w:p>
        </w:tc>
        <w:tc>
          <w:tcPr>
            <w:tcW w:w="362"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27,3</w:t>
            </w:r>
          </w:p>
        </w:tc>
        <w:tc>
          <w:tcPr>
            <w:tcW w:w="363" w:type="pct"/>
            <w:shd w:val="clear" w:color="auto" w:fill="auto"/>
            <w:noWrap/>
            <w:vAlign w:val="center"/>
            <w:hideMark/>
          </w:tcPr>
          <w:p w:rsidR="00F1336A" w:rsidRPr="00BA321C" w:rsidRDefault="00F1336A"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51,2</w:t>
            </w:r>
          </w:p>
        </w:tc>
      </w:tr>
    </w:tbl>
    <w:p w:rsidR="005B6603" w:rsidRPr="00BA321C" w:rsidRDefault="005B6603" w:rsidP="00BA321C">
      <w:pPr>
        <w:shd w:val="clear" w:color="auto" w:fill="FFFFFF" w:themeFill="background1"/>
        <w:spacing w:after="0" w:line="360" w:lineRule="auto"/>
        <w:jc w:val="both"/>
        <w:rPr>
          <w:rFonts w:ascii="Times New Roman" w:hAnsi="Times New Roman"/>
          <w:sz w:val="28"/>
          <w:szCs w:val="28"/>
          <w:lang w:eastAsia="ru-RU"/>
        </w:rPr>
      </w:pPr>
    </w:p>
    <w:p w:rsidR="00F44902" w:rsidRPr="00BA321C" w:rsidRDefault="00F44902" w:rsidP="00BA321C">
      <w:pPr>
        <w:shd w:val="clear" w:color="auto" w:fill="FFFFFF" w:themeFill="background1"/>
        <w:spacing w:after="0" w:line="360" w:lineRule="auto"/>
        <w:ind w:right="-284"/>
        <w:jc w:val="both"/>
        <w:rPr>
          <w:rFonts w:ascii="Times New Roman" w:hAnsi="Times New Roman"/>
          <w:sz w:val="28"/>
          <w:szCs w:val="28"/>
          <w:lang w:eastAsia="ru-RU"/>
        </w:rPr>
      </w:pPr>
      <w:r w:rsidRPr="00BA321C">
        <w:rPr>
          <w:rFonts w:ascii="Times New Roman" w:hAnsi="Times New Roman"/>
          <w:sz w:val="28"/>
          <w:szCs w:val="28"/>
          <w:lang w:eastAsia="ru-RU"/>
        </w:rPr>
        <w:t>Таблица 2</w:t>
      </w:r>
      <w:r w:rsidR="00C552A8" w:rsidRPr="00BA321C">
        <w:rPr>
          <w:rFonts w:ascii="Times New Roman" w:hAnsi="Times New Roman"/>
          <w:sz w:val="28"/>
          <w:szCs w:val="28"/>
          <w:lang w:eastAsia="ru-RU"/>
        </w:rPr>
        <w:t>.2.8</w:t>
      </w:r>
      <w:r w:rsidRPr="00BA321C">
        <w:rPr>
          <w:rFonts w:ascii="Times New Roman" w:hAnsi="Times New Roman"/>
          <w:sz w:val="28"/>
          <w:szCs w:val="28"/>
          <w:lang w:eastAsia="ru-RU"/>
        </w:rPr>
        <w:t xml:space="preserve"> – Значения и динамика прироста региональных индексов СЭП, формирующих социальный потенциал развития и размещения производительных сил за период с 2005 по 2014гг.</w:t>
      </w:r>
    </w:p>
    <w:tbl>
      <w:tblPr>
        <w:tblW w:w="51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9"/>
        <w:gridCol w:w="717"/>
        <w:gridCol w:w="687"/>
        <w:gridCol w:w="685"/>
        <w:gridCol w:w="685"/>
        <w:gridCol w:w="689"/>
        <w:gridCol w:w="689"/>
        <w:gridCol w:w="735"/>
        <w:gridCol w:w="691"/>
        <w:gridCol w:w="691"/>
        <w:gridCol w:w="689"/>
        <w:gridCol w:w="958"/>
      </w:tblGrid>
      <w:tr w:rsidR="00F44902" w:rsidRPr="00BA321C" w:rsidTr="00F44902">
        <w:trPr>
          <w:trHeight w:val="300"/>
        </w:trPr>
        <w:tc>
          <w:tcPr>
            <w:tcW w:w="853" w:type="pct"/>
            <w:shd w:val="clear" w:color="auto" w:fill="auto"/>
            <w:noWrap/>
            <w:vAlign w:val="bottom"/>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p>
        </w:tc>
        <w:tc>
          <w:tcPr>
            <w:tcW w:w="375"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2005</w:t>
            </w:r>
          </w:p>
        </w:tc>
        <w:tc>
          <w:tcPr>
            <w:tcW w:w="360"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2006</w:t>
            </w:r>
          </w:p>
        </w:tc>
        <w:tc>
          <w:tcPr>
            <w:tcW w:w="359"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2007</w:t>
            </w:r>
          </w:p>
        </w:tc>
        <w:tc>
          <w:tcPr>
            <w:tcW w:w="359"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2008</w:t>
            </w:r>
          </w:p>
        </w:tc>
        <w:tc>
          <w:tcPr>
            <w:tcW w:w="361"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2009</w:t>
            </w:r>
          </w:p>
        </w:tc>
        <w:tc>
          <w:tcPr>
            <w:tcW w:w="361"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2010</w:t>
            </w:r>
          </w:p>
        </w:tc>
        <w:tc>
          <w:tcPr>
            <w:tcW w:w="385"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2011</w:t>
            </w:r>
          </w:p>
        </w:tc>
        <w:tc>
          <w:tcPr>
            <w:tcW w:w="362"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2012</w:t>
            </w:r>
          </w:p>
        </w:tc>
        <w:tc>
          <w:tcPr>
            <w:tcW w:w="362"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2013</w:t>
            </w:r>
          </w:p>
        </w:tc>
        <w:tc>
          <w:tcPr>
            <w:tcW w:w="361"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2014</w:t>
            </w:r>
          </w:p>
        </w:tc>
        <w:tc>
          <w:tcPr>
            <w:tcW w:w="504" w:type="pct"/>
            <w:shd w:val="clear" w:color="auto" w:fill="auto"/>
            <w:noWrap/>
            <w:vAlign w:val="center"/>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Прирост 2014г к 2005г %</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Мордовия</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61,7</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64,0</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64,3</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65,1</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65,3</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66,4</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7,6</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Пермский край</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33,9</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61,7</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64,4</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64,2</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64,1</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64,9</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91,4</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Самарская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41,7</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67,8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69,1</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67,5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60,1</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66,7</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64,0</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53,6</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Кировская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42,2</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60,2</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54,2</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63,4</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50,3</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Саратовская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56,0</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55,9</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62,1</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62,6</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63,6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62,5</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11,7</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Удмуртская Республика</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59,7</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61,6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55,9</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58,5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58,9</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59,6</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-0,2</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Татарстан</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52,7</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56,1</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54,2</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57,6</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9,2</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Чувашская Республика</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51,6</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54,9</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56,6</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9,6</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Пензенская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56,8</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53,4</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55,7</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56,3</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56,3</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-0,9</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Ульяновская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46,7</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46,4</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48,1</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47,0</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46,6</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-0,1</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Башкортостан</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49,1</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45,1</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41,2</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40,9</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44,6</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-9,1</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Оренбургская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46,3</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46,1</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44,9</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39,4</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44,5</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Марий Эл</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44,3</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33,0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48,5</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40,3</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40,0</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-9,6</w:t>
            </w:r>
          </w:p>
        </w:tc>
      </w:tr>
      <w:tr w:rsidR="00F44902" w:rsidRPr="00BA321C" w:rsidTr="00F44902">
        <w:trPr>
          <w:trHeight w:val="300"/>
        </w:trPr>
        <w:tc>
          <w:tcPr>
            <w:tcW w:w="853"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Нижегородская область</w:t>
            </w:r>
          </w:p>
        </w:tc>
        <w:tc>
          <w:tcPr>
            <w:tcW w:w="37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46,8</w:t>
            </w:r>
          </w:p>
        </w:tc>
        <w:tc>
          <w:tcPr>
            <w:tcW w:w="360"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44,9</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41,7</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36,1</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31,1</w:t>
            </w:r>
          </w:p>
        </w:tc>
        <w:tc>
          <w:tcPr>
            <w:tcW w:w="385"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34,3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36,8</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39,0</w:t>
            </w:r>
          </w:p>
        </w:tc>
        <w:tc>
          <w:tcPr>
            <w:tcW w:w="50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-16,6</w:t>
            </w:r>
          </w:p>
        </w:tc>
      </w:tr>
    </w:tbl>
    <w:p w:rsidR="005745AF" w:rsidRDefault="005745AF" w:rsidP="00BA321C">
      <w:pPr>
        <w:shd w:val="clear" w:color="auto" w:fill="FFFFFF" w:themeFill="background1"/>
        <w:spacing w:after="0" w:line="360" w:lineRule="auto"/>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jc w:val="both"/>
        <w:rPr>
          <w:rFonts w:ascii="Times New Roman" w:hAnsi="Times New Roman"/>
          <w:sz w:val="28"/>
          <w:szCs w:val="28"/>
          <w:lang w:eastAsia="ru-RU"/>
        </w:rPr>
      </w:pPr>
    </w:p>
    <w:p w:rsidR="00C35E98" w:rsidRPr="00BA321C" w:rsidRDefault="00C35E98" w:rsidP="00BA321C">
      <w:pPr>
        <w:shd w:val="clear" w:color="auto" w:fill="FFFFFF" w:themeFill="background1"/>
        <w:spacing w:after="0" w:line="360" w:lineRule="auto"/>
        <w:jc w:val="both"/>
        <w:rPr>
          <w:rFonts w:ascii="Times New Roman" w:hAnsi="Times New Roman"/>
          <w:sz w:val="28"/>
          <w:szCs w:val="28"/>
          <w:lang w:eastAsia="ru-RU"/>
        </w:rPr>
      </w:pPr>
    </w:p>
    <w:p w:rsidR="00F44902" w:rsidRPr="00BA321C" w:rsidRDefault="00F44902" w:rsidP="00BA321C">
      <w:pPr>
        <w:shd w:val="clear" w:color="auto" w:fill="FFFFFF" w:themeFill="background1"/>
        <w:spacing w:after="0" w:line="360" w:lineRule="auto"/>
        <w:ind w:right="-284"/>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Таблица </w:t>
      </w:r>
      <w:r w:rsidR="00C552A8" w:rsidRPr="00BA321C">
        <w:rPr>
          <w:rFonts w:ascii="Times New Roman" w:hAnsi="Times New Roman"/>
          <w:sz w:val="28"/>
          <w:szCs w:val="28"/>
          <w:lang w:eastAsia="ru-RU"/>
        </w:rPr>
        <w:t>2.2.9</w:t>
      </w:r>
      <w:r w:rsidRPr="00BA321C">
        <w:rPr>
          <w:rFonts w:ascii="Times New Roman" w:hAnsi="Times New Roman"/>
          <w:sz w:val="28"/>
          <w:szCs w:val="28"/>
          <w:lang w:eastAsia="ru-RU"/>
        </w:rPr>
        <w:t xml:space="preserve"> – Значения и динамика прироста региональных субиндексов СЭП, определяющих институциональный потенциал развития инновационно-модернизационных производительных сил за период с 2005 по 2014гг.</w:t>
      </w:r>
    </w:p>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695"/>
        <w:gridCol w:w="696"/>
        <w:gridCol w:w="692"/>
        <w:gridCol w:w="692"/>
        <w:gridCol w:w="687"/>
        <w:gridCol w:w="692"/>
        <w:gridCol w:w="692"/>
        <w:gridCol w:w="702"/>
        <w:gridCol w:w="694"/>
        <w:gridCol w:w="690"/>
        <w:gridCol w:w="862"/>
      </w:tblGrid>
      <w:tr w:rsidR="00882205" w:rsidRPr="00BA321C" w:rsidTr="00A24784">
        <w:trPr>
          <w:trHeight w:val="300"/>
        </w:trPr>
        <w:tc>
          <w:tcPr>
            <w:tcW w:w="924" w:type="pct"/>
            <w:shd w:val="clear" w:color="auto" w:fill="auto"/>
            <w:noWrap/>
            <w:vAlign w:val="bottom"/>
          </w:tcPr>
          <w:p w:rsidR="00882205" w:rsidRPr="00BA321C" w:rsidRDefault="00882205" w:rsidP="00BA321C">
            <w:pPr>
              <w:shd w:val="clear" w:color="auto" w:fill="FFFFFF" w:themeFill="background1"/>
              <w:spacing w:after="0" w:line="240" w:lineRule="auto"/>
              <w:rPr>
                <w:rFonts w:ascii="Times New Roman" w:eastAsia="Times New Roman" w:hAnsi="Times New Roman"/>
                <w:sz w:val="20"/>
                <w:szCs w:val="20"/>
                <w:lang w:eastAsia="ru-RU"/>
              </w:rPr>
            </w:pPr>
          </w:p>
        </w:tc>
        <w:tc>
          <w:tcPr>
            <w:tcW w:w="363"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2005</w:t>
            </w:r>
          </w:p>
        </w:tc>
        <w:tc>
          <w:tcPr>
            <w:tcW w:w="364"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2006</w:t>
            </w:r>
          </w:p>
        </w:tc>
        <w:tc>
          <w:tcPr>
            <w:tcW w:w="362"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2007</w:t>
            </w:r>
          </w:p>
        </w:tc>
        <w:tc>
          <w:tcPr>
            <w:tcW w:w="362"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2008</w:t>
            </w:r>
          </w:p>
        </w:tc>
        <w:tc>
          <w:tcPr>
            <w:tcW w:w="359"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2009</w:t>
            </w:r>
          </w:p>
        </w:tc>
        <w:tc>
          <w:tcPr>
            <w:tcW w:w="362"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2010</w:t>
            </w:r>
          </w:p>
        </w:tc>
        <w:tc>
          <w:tcPr>
            <w:tcW w:w="362"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2011</w:t>
            </w:r>
          </w:p>
        </w:tc>
        <w:tc>
          <w:tcPr>
            <w:tcW w:w="367"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2012</w:t>
            </w:r>
          </w:p>
        </w:tc>
        <w:tc>
          <w:tcPr>
            <w:tcW w:w="363"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2013</w:t>
            </w:r>
          </w:p>
        </w:tc>
        <w:tc>
          <w:tcPr>
            <w:tcW w:w="361"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2014</w:t>
            </w:r>
          </w:p>
        </w:tc>
        <w:tc>
          <w:tcPr>
            <w:tcW w:w="451" w:type="pct"/>
            <w:shd w:val="clear" w:color="auto" w:fill="auto"/>
            <w:noWrap/>
            <w:vAlign w:val="center"/>
          </w:tcPr>
          <w:p w:rsidR="00882205" w:rsidRPr="00BA321C" w:rsidRDefault="00882205"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Прирост 2014г к 2005г %</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Нижегородская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44,7</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53,2</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57,1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58,9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62,5</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65,5</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68,5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71,6</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60,2</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Татарстан</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43,3</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52,1</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54,8</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56,3</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57,9</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59,5</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37,3</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Пермский край</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52,2</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52,0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44,5</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48,9</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50,2</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48,6</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-6,9</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Башкортостан</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48,7</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47,6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43,0</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44,0</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46,0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48,0</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-1,3</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Самарская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41,2</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45,4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40,8</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41,9</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42,1</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41,2</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40,9</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-0,7</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Оренбургская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19,4</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22,8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25,6</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22,8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21,1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23,6</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23,9</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24,2</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24,5</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25,8</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Саратовская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26,9</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26,8</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26,3</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25,3</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25,0</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24,7</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24,4</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-9,4</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Удмуртская Республика</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16,8</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21,5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18,7</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19,3</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19,4</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19,5</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16,0</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Ульяновская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10,8</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13,9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14,5</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15,9</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16,7</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17,5</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18,3</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70,1</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Чувашская Республика</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18,0</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13,2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19,1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15,7</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16,3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17,6</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17,1</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17,2</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17,3</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17,4</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-3,0</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Кировская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12,2</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14,2</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12,7</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12,7</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12,6</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12,6</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2,9</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Пензенская область</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11,5</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12,5</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12,9</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11,0</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11,2</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11,5</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11,4</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11,3</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-1,8</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Мордовия</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6,8</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9,1</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8,9</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9,1</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9,3</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9,4</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9,6</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40,6</w:t>
            </w:r>
          </w:p>
        </w:tc>
      </w:tr>
      <w:tr w:rsidR="00882205" w:rsidRPr="00BA321C" w:rsidTr="00A24784">
        <w:trPr>
          <w:trHeight w:val="300"/>
        </w:trPr>
        <w:tc>
          <w:tcPr>
            <w:tcW w:w="924" w:type="pct"/>
            <w:shd w:val="clear" w:color="auto" w:fill="auto"/>
            <w:noWrap/>
            <w:vAlign w:val="bottom"/>
            <w:hideMark/>
          </w:tcPr>
          <w:p w:rsidR="00F44902" w:rsidRPr="00BA321C" w:rsidRDefault="00F44902"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Марий Эл</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3,7</w:t>
            </w:r>
          </w:p>
        </w:tc>
        <w:tc>
          <w:tcPr>
            <w:tcW w:w="364"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5,3</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3,9</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4,3</w:t>
            </w:r>
          </w:p>
        </w:tc>
        <w:tc>
          <w:tcPr>
            <w:tcW w:w="359"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3,7</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5,4</w:t>
            </w:r>
          </w:p>
        </w:tc>
        <w:tc>
          <w:tcPr>
            <w:tcW w:w="362"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4,8</w:t>
            </w:r>
          </w:p>
        </w:tc>
        <w:tc>
          <w:tcPr>
            <w:tcW w:w="367"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4,9</w:t>
            </w:r>
          </w:p>
        </w:tc>
        <w:tc>
          <w:tcPr>
            <w:tcW w:w="363"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5,0</w:t>
            </w:r>
          </w:p>
        </w:tc>
        <w:tc>
          <w:tcPr>
            <w:tcW w:w="36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5,1</w:t>
            </w:r>
          </w:p>
        </w:tc>
        <w:tc>
          <w:tcPr>
            <w:tcW w:w="451" w:type="pct"/>
            <w:shd w:val="clear" w:color="auto" w:fill="auto"/>
            <w:noWrap/>
            <w:vAlign w:val="center"/>
            <w:hideMark/>
          </w:tcPr>
          <w:p w:rsidR="00F44902" w:rsidRPr="00BA321C" w:rsidRDefault="00F44902" w:rsidP="00BA321C">
            <w:pPr>
              <w:shd w:val="clear" w:color="auto" w:fill="FFFFFF" w:themeFill="background1"/>
              <w:spacing w:after="0" w:line="240" w:lineRule="auto"/>
              <w:jc w:val="center"/>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38,7</w:t>
            </w:r>
          </w:p>
        </w:tc>
      </w:tr>
    </w:tbl>
    <w:p w:rsidR="000020E1" w:rsidRPr="00BA321C" w:rsidRDefault="000020E1" w:rsidP="00BA321C">
      <w:pPr>
        <w:shd w:val="clear" w:color="auto" w:fill="FFFFFF" w:themeFill="background1"/>
        <w:spacing w:after="0" w:line="360" w:lineRule="auto"/>
        <w:ind w:firstLine="851"/>
        <w:jc w:val="both"/>
        <w:rPr>
          <w:rFonts w:ascii="Times New Roman" w:hAnsi="Times New Roman"/>
          <w:sz w:val="28"/>
          <w:szCs w:val="28"/>
          <w:lang w:eastAsia="ru-RU"/>
        </w:rPr>
      </w:pPr>
    </w:p>
    <w:p w:rsidR="00A24784" w:rsidRPr="00BA321C" w:rsidRDefault="00A24784"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Наибольшим потенциалом инновационно-модернизационного развития региональных производительных сил в Приволжском федеральном округе обладают Республика Татарстан, Самарская область, Нижегородская область, Пермский край и Республика Башкортостан. Индекс институционального развития для рассматриваемой группы регионов принимает наивысшие оценки, </w:t>
      </w:r>
      <w:r w:rsidR="008D474F" w:rsidRPr="00BA321C">
        <w:rPr>
          <w:rFonts w:ascii="Times New Roman" w:hAnsi="Times New Roman"/>
          <w:sz w:val="28"/>
          <w:szCs w:val="28"/>
          <w:lang w:eastAsia="ru-RU"/>
        </w:rPr>
        <w:t xml:space="preserve">тем самым определяя значительный задел в сфере научно-образовательного потенциала, а также ускоренных технологических сдвигов. </w:t>
      </w:r>
      <w:r w:rsidRPr="00BA321C">
        <w:rPr>
          <w:rFonts w:ascii="Times New Roman" w:hAnsi="Times New Roman"/>
          <w:sz w:val="28"/>
          <w:szCs w:val="28"/>
          <w:lang w:eastAsia="ru-RU"/>
        </w:rPr>
        <w:t xml:space="preserve">Действительно сложно представить смену технологических укладов без развития и внедрения в реальный сектор экономики новых технологий, запускающих механизмы генерации продуктовых, процессных и технологических инноваций. Условия </w:t>
      </w:r>
      <w:r w:rsidRPr="00BA321C">
        <w:rPr>
          <w:rFonts w:ascii="Times New Roman" w:hAnsi="Times New Roman"/>
          <w:sz w:val="28"/>
          <w:szCs w:val="28"/>
          <w:lang w:eastAsia="ru-RU"/>
        </w:rPr>
        <w:lastRenderedPageBreak/>
        <w:t xml:space="preserve">формирования новых технологических укладов создаются в процессе реализации соответствующих заделов в научно-исследовательских открытиях и конструктивных разработках. По мере того как имеющиеся технологические возможности наращивания капитала исчерпываются в силу снижения их отдачи в виде маржинальных показателей эффективности, указанные условия получают мощный импульс реализации, что находит свое выражение в виде технологических сдвигов в процессе эволюционирования экономических систем. </w:t>
      </w:r>
    </w:p>
    <w:p w:rsidR="00426B84" w:rsidRPr="00BA321C" w:rsidRDefault="008D474F"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С точки зрения ресурсно-инфраструктурного потенциал</w:t>
      </w:r>
      <w:r w:rsidR="0062496C" w:rsidRPr="00BA321C">
        <w:rPr>
          <w:rFonts w:ascii="Times New Roman" w:hAnsi="Times New Roman"/>
          <w:sz w:val="28"/>
          <w:szCs w:val="28"/>
          <w:lang w:eastAsia="ru-RU"/>
        </w:rPr>
        <w:t>а</w:t>
      </w:r>
      <w:r w:rsidRPr="00BA321C">
        <w:rPr>
          <w:rFonts w:ascii="Times New Roman" w:hAnsi="Times New Roman"/>
          <w:sz w:val="28"/>
          <w:szCs w:val="28"/>
          <w:lang w:eastAsia="ru-RU"/>
        </w:rPr>
        <w:t xml:space="preserve">, </w:t>
      </w:r>
      <w:r w:rsidR="00E249F2" w:rsidRPr="00BA321C">
        <w:rPr>
          <w:rFonts w:ascii="Times New Roman" w:hAnsi="Times New Roman"/>
          <w:sz w:val="28"/>
          <w:szCs w:val="28"/>
          <w:lang w:eastAsia="ru-RU"/>
        </w:rPr>
        <w:t xml:space="preserve">выраженного в абсолютных фактических оценках, </w:t>
      </w:r>
      <w:r w:rsidRPr="00BA321C">
        <w:rPr>
          <w:rFonts w:ascii="Times New Roman" w:hAnsi="Times New Roman"/>
          <w:sz w:val="28"/>
          <w:szCs w:val="28"/>
          <w:lang w:eastAsia="ru-RU"/>
        </w:rPr>
        <w:t>определяющ</w:t>
      </w:r>
      <w:r w:rsidR="0062496C" w:rsidRPr="00BA321C">
        <w:rPr>
          <w:rFonts w:ascii="Times New Roman" w:hAnsi="Times New Roman"/>
          <w:sz w:val="28"/>
          <w:szCs w:val="28"/>
          <w:lang w:eastAsia="ru-RU"/>
        </w:rPr>
        <w:t>его</w:t>
      </w:r>
      <w:r w:rsidRPr="00BA321C">
        <w:rPr>
          <w:rFonts w:ascii="Times New Roman" w:hAnsi="Times New Roman"/>
          <w:sz w:val="28"/>
          <w:szCs w:val="28"/>
          <w:lang w:eastAsia="ru-RU"/>
        </w:rPr>
        <w:t xml:space="preserve"> </w:t>
      </w:r>
      <w:r w:rsidR="0062496C" w:rsidRPr="00BA321C">
        <w:rPr>
          <w:rFonts w:ascii="Times New Roman" w:hAnsi="Times New Roman"/>
          <w:sz w:val="28"/>
          <w:szCs w:val="28"/>
          <w:lang w:eastAsia="ru-RU"/>
        </w:rPr>
        <w:t xml:space="preserve">эффективность </w:t>
      </w:r>
      <w:r w:rsidRPr="00BA321C">
        <w:rPr>
          <w:rFonts w:ascii="Times New Roman" w:hAnsi="Times New Roman"/>
          <w:sz w:val="28"/>
          <w:szCs w:val="28"/>
          <w:lang w:eastAsia="ru-RU"/>
        </w:rPr>
        <w:t>развити</w:t>
      </w:r>
      <w:r w:rsidR="0062496C" w:rsidRPr="00BA321C">
        <w:rPr>
          <w:rFonts w:ascii="Times New Roman" w:hAnsi="Times New Roman"/>
          <w:sz w:val="28"/>
          <w:szCs w:val="28"/>
          <w:lang w:eastAsia="ru-RU"/>
        </w:rPr>
        <w:t>я</w:t>
      </w:r>
      <w:r w:rsidRPr="00BA321C">
        <w:rPr>
          <w:rFonts w:ascii="Times New Roman" w:hAnsi="Times New Roman"/>
          <w:sz w:val="28"/>
          <w:szCs w:val="28"/>
          <w:lang w:eastAsia="ru-RU"/>
        </w:rPr>
        <w:t xml:space="preserve"> региональных производительных сил, </w:t>
      </w:r>
      <w:r w:rsidR="0062496C" w:rsidRPr="00BA321C">
        <w:rPr>
          <w:rFonts w:ascii="Times New Roman" w:hAnsi="Times New Roman"/>
          <w:sz w:val="28"/>
          <w:szCs w:val="28"/>
          <w:lang w:eastAsia="ru-RU"/>
        </w:rPr>
        <w:t xml:space="preserve">состав лидеров </w:t>
      </w:r>
      <w:r w:rsidR="00E249F2" w:rsidRPr="00BA321C">
        <w:rPr>
          <w:rFonts w:ascii="Times New Roman" w:hAnsi="Times New Roman"/>
          <w:sz w:val="28"/>
          <w:szCs w:val="28"/>
          <w:lang w:eastAsia="ru-RU"/>
        </w:rPr>
        <w:t xml:space="preserve">имеет тот же перечень, что и был определен в рамках проведенного анализа эффективности развития производительных сил с позиции высокого уровня институционального потенциала регионов. Вместе с тем обращает на себя внимание </w:t>
      </w:r>
      <w:r w:rsidR="003A0636" w:rsidRPr="00BA321C">
        <w:rPr>
          <w:rFonts w:ascii="Times New Roman" w:hAnsi="Times New Roman"/>
          <w:sz w:val="28"/>
          <w:szCs w:val="28"/>
          <w:lang w:eastAsia="ru-RU"/>
        </w:rPr>
        <w:t xml:space="preserve">то, что ряд регионов, из рассматриваемого перечня, несмотря на высокий уровень абсолютных значений, демонстрирует достаточно низкий уровень динамики субиндекса </w:t>
      </w:r>
      <w:r w:rsidR="003A0636" w:rsidRPr="00BA321C">
        <w:rPr>
          <w:rFonts w:ascii="Times New Roman" w:hAnsi="Times New Roman"/>
          <w:sz w:val="28"/>
          <w:szCs w:val="28"/>
          <w:lang w:val="en-US" w:eastAsia="ru-RU"/>
        </w:rPr>
        <w:t>I</w:t>
      </w:r>
      <w:r w:rsidR="003A0636" w:rsidRPr="00BA321C">
        <w:rPr>
          <w:rFonts w:ascii="Times New Roman" w:hAnsi="Times New Roman"/>
          <w:sz w:val="28"/>
          <w:szCs w:val="28"/>
          <w:vertAlign w:val="subscript"/>
          <w:lang w:eastAsia="ru-RU"/>
        </w:rPr>
        <w:t>э</w:t>
      </w:r>
      <w:r w:rsidR="003A0636" w:rsidRPr="00BA321C">
        <w:rPr>
          <w:rFonts w:ascii="Times New Roman" w:hAnsi="Times New Roman"/>
          <w:sz w:val="28"/>
          <w:szCs w:val="28"/>
          <w:lang w:eastAsia="ru-RU"/>
        </w:rPr>
        <w:t xml:space="preserve">. Это </w:t>
      </w:r>
      <w:r w:rsidR="00426B84" w:rsidRPr="00BA321C">
        <w:rPr>
          <w:rFonts w:ascii="Times New Roman" w:hAnsi="Times New Roman"/>
          <w:sz w:val="28"/>
          <w:szCs w:val="28"/>
          <w:lang w:eastAsia="ru-RU"/>
        </w:rPr>
        <w:t>Самарская область</w:t>
      </w:r>
      <w:r w:rsidR="003A0636" w:rsidRPr="00BA321C">
        <w:rPr>
          <w:rFonts w:ascii="Times New Roman" w:hAnsi="Times New Roman"/>
          <w:sz w:val="28"/>
          <w:szCs w:val="28"/>
          <w:lang w:eastAsia="ru-RU"/>
        </w:rPr>
        <w:t xml:space="preserve"> </w:t>
      </w:r>
      <w:r w:rsidR="00426B84" w:rsidRPr="00BA321C">
        <w:rPr>
          <w:rFonts w:ascii="Times New Roman" w:hAnsi="Times New Roman"/>
          <w:sz w:val="28"/>
          <w:szCs w:val="28"/>
          <w:lang w:eastAsia="ru-RU"/>
        </w:rPr>
        <w:t>и Республика Башкортостан. По всей видимости, данные регионы, обладающие очень высокими значениями индекса социально-экономической привлекательности, начинают демонстрировать исчерпание факторов экономического роста. То есть, для рассматриваемых регионов начинает формироваться угроза снижения их конкурентоспособности в средне- и долгосрочной перспективах. Таким образом, достигнутый в последние годы в данных регионах высокий уровень производственной и организационной базы начи</w:t>
      </w:r>
      <w:r w:rsidR="00F326CE" w:rsidRPr="00BA321C">
        <w:rPr>
          <w:rFonts w:ascii="Times New Roman" w:hAnsi="Times New Roman"/>
          <w:sz w:val="28"/>
          <w:szCs w:val="28"/>
          <w:lang w:eastAsia="ru-RU"/>
        </w:rPr>
        <w:t>н</w:t>
      </w:r>
      <w:r w:rsidR="00426B84" w:rsidRPr="00BA321C">
        <w:rPr>
          <w:rFonts w:ascii="Times New Roman" w:hAnsi="Times New Roman"/>
          <w:sz w:val="28"/>
          <w:szCs w:val="28"/>
          <w:lang w:eastAsia="ru-RU"/>
        </w:rPr>
        <w:t xml:space="preserve">ает ограничиваться в связи с исчерпанием </w:t>
      </w:r>
      <w:r w:rsidR="00C552A8" w:rsidRPr="00BA321C">
        <w:rPr>
          <w:rFonts w:ascii="Times New Roman" w:hAnsi="Times New Roman"/>
          <w:sz w:val="28"/>
          <w:szCs w:val="28"/>
          <w:lang w:eastAsia="ru-RU"/>
        </w:rPr>
        <w:t xml:space="preserve">маржинальной эффективности </w:t>
      </w:r>
      <w:r w:rsidR="00426B84" w:rsidRPr="00BA321C">
        <w:rPr>
          <w:rFonts w:ascii="Times New Roman" w:hAnsi="Times New Roman"/>
          <w:sz w:val="28"/>
          <w:szCs w:val="28"/>
          <w:lang w:eastAsia="ru-RU"/>
        </w:rPr>
        <w:t>ресурсной базы и недостаточным количеством реализации на территориях рассматриваемых регионов новых, инновационных, конкурентоспособных инвестиционных проектов, обеспечивающих формирование и развитие прорывных направлений экономического роста.</w:t>
      </w:r>
      <w:r w:rsidR="003A0636" w:rsidRPr="00BA321C">
        <w:rPr>
          <w:rFonts w:ascii="Times New Roman" w:hAnsi="Times New Roman"/>
          <w:sz w:val="28"/>
          <w:szCs w:val="28"/>
          <w:lang w:eastAsia="ru-RU"/>
        </w:rPr>
        <w:t xml:space="preserve"> </w:t>
      </w:r>
      <w:r w:rsidR="00F326CE" w:rsidRPr="00BA321C">
        <w:rPr>
          <w:rFonts w:ascii="Times New Roman" w:hAnsi="Times New Roman"/>
          <w:sz w:val="28"/>
          <w:szCs w:val="28"/>
          <w:lang w:eastAsia="ru-RU"/>
        </w:rPr>
        <w:t xml:space="preserve">Подтверждением этому служит то, что субиндекс институционального развития продемонстрировал за период с 2005 </w:t>
      </w:r>
      <w:r w:rsidR="00F326CE" w:rsidRPr="00BA321C">
        <w:rPr>
          <w:rFonts w:ascii="Times New Roman" w:hAnsi="Times New Roman"/>
          <w:sz w:val="28"/>
          <w:szCs w:val="28"/>
          <w:lang w:eastAsia="ru-RU"/>
        </w:rPr>
        <w:lastRenderedPageBreak/>
        <w:t>по 2014 годы отрицательную динамику (Приложение 2)</w:t>
      </w:r>
      <w:r w:rsidR="00B5787E" w:rsidRPr="00BA321C">
        <w:rPr>
          <w:rFonts w:ascii="Times New Roman" w:hAnsi="Times New Roman"/>
          <w:sz w:val="28"/>
          <w:szCs w:val="28"/>
          <w:lang w:eastAsia="ru-RU"/>
        </w:rPr>
        <w:t xml:space="preserve">. </w:t>
      </w:r>
      <w:r w:rsidR="003A0636" w:rsidRPr="00BA321C">
        <w:rPr>
          <w:rFonts w:ascii="Times New Roman" w:hAnsi="Times New Roman"/>
          <w:sz w:val="28"/>
          <w:szCs w:val="28"/>
          <w:lang w:eastAsia="ru-RU"/>
        </w:rPr>
        <w:t xml:space="preserve">Вместе с тем институциональный потенциал рассматриваемых регионов весьма высок (таблица </w:t>
      </w:r>
      <w:r w:rsidR="00C552A8" w:rsidRPr="00BA321C">
        <w:rPr>
          <w:rFonts w:ascii="Times New Roman" w:hAnsi="Times New Roman"/>
          <w:sz w:val="28"/>
          <w:szCs w:val="28"/>
          <w:lang w:eastAsia="ru-RU"/>
        </w:rPr>
        <w:t>2.2.9</w:t>
      </w:r>
      <w:r w:rsidR="003A0636" w:rsidRPr="00BA321C">
        <w:rPr>
          <w:rFonts w:ascii="Times New Roman" w:hAnsi="Times New Roman"/>
          <w:sz w:val="28"/>
          <w:szCs w:val="28"/>
          <w:lang w:eastAsia="ru-RU"/>
        </w:rPr>
        <w:t>), что формирует потенциал роста их конкурентоспособности на фоне развития новых видов производительных сил.</w:t>
      </w:r>
    </w:p>
    <w:p w:rsidR="00260B46" w:rsidRPr="00BA321C" w:rsidRDefault="000A7FB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Представленные аналитические данные свидетельствуют о наличии дисбаланса в социальном</w:t>
      </w:r>
      <w:r w:rsidR="00260B46" w:rsidRPr="00BA321C">
        <w:rPr>
          <w:rFonts w:ascii="Times New Roman" w:hAnsi="Times New Roman"/>
          <w:sz w:val="28"/>
          <w:szCs w:val="28"/>
          <w:lang w:eastAsia="ru-RU"/>
        </w:rPr>
        <w:t>,</w:t>
      </w:r>
      <w:r w:rsidRPr="00BA321C">
        <w:rPr>
          <w:rFonts w:ascii="Times New Roman" w:hAnsi="Times New Roman"/>
          <w:sz w:val="28"/>
          <w:szCs w:val="28"/>
          <w:lang w:eastAsia="ru-RU"/>
        </w:rPr>
        <w:t xml:space="preserve"> экономическом </w:t>
      </w:r>
      <w:r w:rsidR="00260B46" w:rsidRPr="00BA321C">
        <w:rPr>
          <w:rFonts w:ascii="Times New Roman" w:hAnsi="Times New Roman"/>
          <w:sz w:val="28"/>
          <w:szCs w:val="28"/>
          <w:lang w:eastAsia="ru-RU"/>
        </w:rPr>
        <w:t xml:space="preserve">и институциональном </w:t>
      </w:r>
      <w:r w:rsidRPr="00BA321C">
        <w:rPr>
          <w:rFonts w:ascii="Times New Roman" w:hAnsi="Times New Roman"/>
          <w:sz w:val="28"/>
          <w:szCs w:val="28"/>
          <w:lang w:eastAsia="ru-RU"/>
        </w:rPr>
        <w:t xml:space="preserve">развитии </w:t>
      </w:r>
      <w:r w:rsidR="00260B46" w:rsidRPr="00BA321C">
        <w:rPr>
          <w:rFonts w:ascii="Times New Roman" w:hAnsi="Times New Roman"/>
          <w:sz w:val="28"/>
          <w:szCs w:val="28"/>
          <w:lang w:eastAsia="ru-RU"/>
        </w:rPr>
        <w:t xml:space="preserve">абсолютно всех </w:t>
      </w:r>
      <w:r w:rsidRPr="00BA321C">
        <w:rPr>
          <w:rFonts w:ascii="Times New Roman" w:hAnsi="Times New Roman"/>
          <w:sz w:val="28"/>
          <w:szCs w:val="28"/>
          <w:lang w:eastAsia="ru-RU"/>
        </w:rPr>
        <w:t>регионов</w:t>
      </w:r>
      <w:r w:rsidR="00260B46" w:rsidRPr="00BA321C">
        <w:rPr>
          <w:rFonts w:ascii="Times New Roman" w:hAnsi="Times New Roman"/>
          <w:sz w:val="28"/>
          <w:szCs w:val="28"/>
          <w:lang w:eastAsia="ru-RU"/>
        </w:rPr>
        <w:t xml:space="preserve">. В </w:t>
      </w:r>
      <w:r w:rsidRPr="00BA321C">
        <w:rPr>
          <w:rFonts w:ascii="Times New Roman" w:hAnsi="Times New Roman"/>
          <w:sz w:val="28"/>
          <w:szCs w:val="28"/>
          <w:lang w:eastAsia="ru-RU"/>
        </w:rPr>
        <w:t>Приволжско</w:t>
      </w:r>
      <w:r w:rsidR="00260B46" w:rsidRPr="00BA321C">
        <w:rPr>
          <w:rFonts w:ascii="Times New Roman" w:hAnsi="Times New Roman"/>
          <w:sz w:val="28"/>
          <w:szCs w:val="28"/>
          <w:lang w:eastAsia="ru-RU"/>
        </w:rPr>
        <w:t>м</w:t>
      </w:r>
      <w:r w:rsidRPr="00BA321C">
        <w:rPr>
          <w:rFonts w:ascii="Times New Roman" w:hAnsi="Times New Roman"/>
          <w:sz w:val="28"/>
          <w:szCs w:val="28"/>
          <w:lang w:eastAsia="ru-RU"/>
        </w:rPr>
        <w:t xml:space="preserve"> федерально</w:t>
      </w:r>
      <w:r w:rsidR="00260B46" w:rsidRPr="00BA321C">
        <w:rPr>
          <w:rFonts w:ascii="Times New Roman" w:hAnsi="Times New Roman"/>
          <w:sz w:val="28"/>
          <w:szCs w:val="28"/>
          <w:lang w:eastAsia="ru-RU"/>
        </w:rPr>
        <w:t>м</w:t>
      </w:r>
      <w:r w:rsidRPr="00BA321C">
        <w:rPr>
          <w:rFonts w:ascii="Times New Roman" w:hAnsi="Times New Roman"/>
          <w:sz w:val="28"/>
          <w:szCs w:val="28"/>
          <w:lang w:eastAsia="ru-RU"/>
        </w:rPr>
        <w:t xml:space="preserve"> округ</w:t>
      </w:r>
      <w:r w:rsidR="00260B46" w:rsidRPr="00BA321C">
        <w:rPr>
          <w:rFonts w:ascii="Times New Roman" w:hAnsi="Times New Roman"/>
          <w:sz w:val="28"/>
          <w:szCs w:val="28"/>
          <w:lang w:eastAsia="ru-RU"/>
        </w:rPr>
        <w:t xml:space="preserve">е нет ни одного региона, характеризующегося максимальными оценками всех трех рассматриваемых потенциалов. Также как и не наблюдается регионов, с высокой динамикой роста в разрезе всех трех рассчитанных динамических рядов субиндексов, определяющих интегральные показатели социально-экономической привлекательности. </w:t>
      </w:r>
    </w:p>
    <w:p w:rsidR="00E30DDD" w:rsidRPr="00BA321C" w:rsidRDefault="00A65BAD"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В целом </w:t>
      </w:r>
      <w:r w:rsidR="00260B46" w:rsidRPr="00BA321C">
        <w:rPr>
          <w:rFonts w:ascii="Times New Roman" w:hAnsi="Times New Roman"/>
          <w:sz w:val="28"/>
          <w:szCs w:val="28"/>
          <w:lang w:eastAsia="ru-RU"/>
        </w:rPr>
        <w:t xml:space="preserve">же </w:t>
      </w:r>
      <w:r w:rsidRPr="00BA321C">
        <w:rPr>
          <w:rFonts w:ascii="Times New Roman" w:hAnsi="Times New Roman"/>
          <w:sz w:val="28"/>
          <w:szCs w:val="28"/>
          <w:lang w:eastAsia="ru-RU"/>
        </w:rPr>
        <w:t xml:space="preserve">для Приволжского федерального округа за анализируемый </w:t>
      </w:r>
      <w:r w:rsidR="00260B46" w:rsidRPr="00BA321C">
        <w:rPr>
          <w:rFonts w:ascii="Times New Roman" w:hAnsi="Times New Roman"/>
          <w:sz w:val="28"/>
          <w:szCs w:val="28"/>
          <w:lang w:eastAsia="ru-RU"/>
        </w:rPr>
        <w:t>десятилетний</w:t>
      </w:r>
      <w:r w:rsidRPr="00BA321C">
        <w:rPr>
          <w:rFonts w:ascii="Times New Roman" w:hAnsi="Times New Roman"/>
          <w:sz w:val="28"/>
          <w:szCs w:val="28"/>
          <w:lang w:eastAsia="ru-RU"/>
        </w:rPr>
        <w:t xml:space="preserve"> период (200</w:t>
      </w:r>
      <w:r w:rsidR="00260B46" w:rsidRPr="00BA321C">
        <w:rPr>
          <w:rFonts w:ascii="Times New Roman" w:hAnsi="Times New Roman"/>
          <w:sz w:val="28"/>
          <w:szCs w:val="28"/>
          <w:lang w:eastAsia="ru-RU"/>
        </w:rPr>
        <w:t>5</w:t>
      </w:r>
      <w:r w:rsidRPr="00BA321C">
        <w:rPr>
          <w:rFonts w:ascii="Times New Roman" w:hAnsi="Times New Roman"/>
          <w:sz w:val="28"/>
          <w:szCs w:val="28"/>
          <w:lang w:eastAsia="ru-RU"/>
        </w:rPr>
        <w:t>-201</w:t>
      </w:r>
      <w:r w:rsidR="005A3BF3" w:rsidRPr="00BA321C">
        <w:rPr>
          <w:rFonts w:ascii="Times New Roman" w:hAnsi="Times New Roman"/>
          <w:sz w:val="28"/>
          <w:szCs w:val="28"/>
          <w:lang w:eastAsia="ru-RU"/>
        </w:rPr>
        <w:t>4</w:t>
      </w:r>
      <w:r w:rsidRPr="00BA321C">
        <w:rPr>
          <w:rFonts w:ascii="Times New Roman" w:hAnsi="Times New Roman"/>
          <w:sz w:val="28"/>
          <w:szCs w:val="28"/>
          <w:lang w:eastAsia="ru-RU"/>
        </w:rPr>
        <w:t xml:space="preserve">гг.) характерен опережающий тренд развития </w:t>
      </w:r>
      <w:r w:rsidR="004E5934" w:rsidRPr="00BA321C">
        <w:rPr>
          <w:rFonts w:ascii="Times New Roman" w:hAnsi="Times New Roman"/>
          <w:sz w:val="28"/>
          <w:szCs w:val="28"/>
          <w:lang w:eastAsia="ru-RU"/>
        </w:rPr>
        <w:t>ресурсно-инфраструктурного</w:t>
      </w:r>
      <w:r w:rsidRPr="00BA321C">
        <w:rPr>
          <w:rFonts w:ascii="Times New Roman" w:hAnsi="Times New Roman"/>
          <w:sz w:val="28"/>
          <w:szCs w:val="28"/>
          <w:lang w:eastAsia="ru-RU"/>
        </w:rPr>
        <w:t xml:space="preserve"> </w:t>
      </w:r>
      <w:r w:rsidR="004E5934" w:rsidRPr="00BA321C">
        <w:rPr>
          <w:rFonts w:ascii="Times New Roman" w:hAnsi="Times New Roman"/>
          <w:sz w:val="28"/>
          <w:szCs w:val="28"/>
          <w:lang w:eastAsia="ru-RU"/>
        </w:rPr>
        <w:t>потенциала</w:t>
      </w:r>
      <w:r w:rsidRPr="00BA321C">
        <w:rPr>
          <w:rFonts w:ascii="Times New Roman" w:hAnsi="Times New Roman"/>
          <w:sz w:val="28"/>
          <w:szCs w:val="28"/>
          <w:lang w:eastAsia="ru-RU"/>
        </w:rPr>
        <w:t xml:space="preserve"> относительно социального </w:t>
      </w:r>
      <w:r w:rsidR="00260B46" w:rsidRPr="00BA321C">
        <w:rPr>
          <w:rFonts w:ascii="Times New Roman" w:hAnsi="Times New Roman"/>
          <w:sz w:val="28"/>
          <w:szCs w:val="28"/>
          <w:lang w:eastAsia="ru-RU"/>
        </w:rPr>
        <w:t xml:space="preserve">и институционального </w:t>
      </w:r>
      <w:r w:rsidRPr="00BA321C">
        <w:rPr>
          <w:rFonts w:ascii="Times New Roman" w:hAnsi="Times New Roman"/>
          <w:sz w:val="28"/>
          <w:szCs w:val="28"/>
          <w:lang w:eastAsia="ru-RU"/>
        </w:rPr>
        <w:t xml:space="preserve">(Рисунок </w:t>
      </w:r>
      <w:r w:rsidR="004B5821" w:rsidRPr="00BA321C">
        <w:rPr>
          <w:rFonts w:ascii="Times New Roman" w:hAnsi="Times New Roman"/>
          <w:sz w:val="28"/>
          <w:szCs w:val="28"/>
          <w:lang w:eastAsia="ru-RU"/>
        </w:rPr>
        <w:t>2.</w:t>
      </w:r>
      <w:r w:rsidR="007E35C2" w:rsidRPr="00BA321C">
        <w:rPr>
          <w:rFonts w:ascii="Times New Roman" w:hAnsi="Times New Roman"/>
          <w:sz w:val="28"/>
          <w:szCs w:val="28"/>
          <w:lang w:eastAsia="ru-RU"/>
        </w:rPr>
        <w:t>2.</w:t>
      </w:r>
      <w:r w:rsidR="00316E3F" w:rsidRPr="00BA321C">
        <w:rPr>
          <w:rFonts w:ascii="Times New Roman" w:hAnsi="Times New Roman"/>
          <w:sz w:val="28"/>
          <w:szCs w:val="28"/>
          <w:lang w:eastAsia="ru-RU"/>
        </w:rPr>
        <w:t>3</w:t>
      </w:r>
      <w:r w:rsidRPr="00BA321C">
        <w:rPr>
          <w:rFonts w:ascii="Times New Roman" w:hAnsi="Times New Roman"/>
          <w:sz w:val="28"/>
          <w:szCs w:val="28"/>
          <w:lang w:eastAsia="ru-RU"/>
        </w:rPr>
        <w:t>)</w:t>
      </w:r>
      <w:r w:rsidR="00127AFF" w:rsidRPr="00BA321C">
        <w:rPr>
          <w:rFonts w:ascii="Times New Roman" w:hAnsi="Times New Roman"/>
          <w:sz w:val="28"/>
          <w:szCs w:val="28"/>
          <w:lang w:eastAsia="ru-RU"/>
        </w:rPr>
        <w:t xml:space="preserve">. </w:t>
      </w:r>
    </w:p>
    <w:p w:rsidR="00B5787E"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lang w:eastAsia="ru-RU"/>
        </w:rPr>
        <w:drawing>
          <wp:inline distT="0" distB="0" distL="0" distR="0" wp14:anchorId="744C47F6" wp14:editId="2D719072">
            <wp:extent cx="5937250" cy="2740025"/>
            <wp:effectExtent l="0" t="0" r="6350" b="3175"/>
            <wp:docPr id="27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5787E" w:rsidRPr="00BA321C" w:rsidRDefault="00B5787E" w:rsidP="00BA321C">
      <w:p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 xml:space="preserve">Рисунок </w:t>
      </w:r>
      <w:r w:rsidR="00C552A8" w:rsidRPr="00BA321C">
        <w:rPr>
          <w:rFonts w:ascii="Times New Roman" w:hAnsi="Times New Roman"/>
          <w:sz w:val="28"/>
          <w:szCs w:val="28"/>
          <w:lang w:eastAsia="ru-RU"/>
        </w:rPr>
        <w:t>2.2.3</w:t>
      </w:r>
      <w:r w:rsidRPr="00BA321C">
        <w:rPr>
          <w:rFonts w:ascii="Times New Roman" w:hAnsi="Times New Roman"/>
          <w:sz w:val="28"/>
          <w:szCs w:val="28"/>
          <w:lang w:eastAsia="ru-RU"/>
        </w:rPr>
        <w:t xml:space="preserve"> - Средние значения темпов прироста социально</w:t>
      </w:r>
      <w:r w:rsidR="00E30DDD" w:rsidRPr="00BA321C">
        <w:rPr>
          <w:rFonts w:ascii="Times New Roman" w:hAnsi="Times New Roman"/>
          <w:sz w:val="28"/>
          <w:szCs w:val="28"/>
          <w:lang w:eastAsia="ru-RU"/>
        </w:rPr>
        <w:t>го, институционального</w:t>
      </w:r>
      <w:r w:rsidRPr="00BA321C">
        <w:rPr>
          <w:rFonts w:ascii="Times New Roman" w:hAnsi="Times New Roman"/>
          <w:sz w:val="28"/>
          <w:szCs w:val="28"/>
          <w:lang w:eastAsia="ru-RU"/>
        </w:rPr>
        <w:t xml:space="preserve"> и экономическо</w:t>
      </w:r>
      <w:r w:rsidR="00E30DDD" w:rsidRPr="00BA321C">
        <w:rPr>
          <w:rFonts w:ascii="Times New Roman" w:hAnsi="Times New Roman"/>
          <w:sz w:val="28"/>
          <w:szCs w:val="28"/>
          <w:lang w:eastAsia="ru-RU"/>
        </w:rPr>
        <w:t>го</w:t>
      </w:r>
      <w:r w:rsidRPr="00BA321C">
        <w:rPr>
          <w:rFonts w:ascii="Times New Roman" w:hAnsi="Times New Roman"/>
          <w:sz w:val="28"/>
          <w:szCs w:val="28"/>
          <w:lang w:eastAsia="ru-RU"/>
        </w:rPr>
        <w:t xml:space="preserve"> </w:t>
      </w:r>
      <w:r w:rsidR="00E30DDD" w:rsidRPr="00BA321C">
        <w:rPr>
          <w:rFonts w:ascii="Times New Roman" w:hAnsi="Times New Roman"/>
          <w:sz w:val="28"/>
          <w:szCs w:val="28"/>
          <w:lang w:eastAsia="ru-RU"/>
        </w:rPr>
        <w:t>потенциалов</w:t>
      </w:r>
      <w:r w:rsidRPr="00BA321C">
        <w:rPr>
          <w:rFonts w:ascii="Times New Roman" w:hAnsi="Times New Roman"/>
          <w:sz w:val="28"/>
          <w:szCs w:val="28"/>
          <w:lang w:eastAsia="ru-RU"/>
        </w:rPr>
        <w:t xml:space="preserve"> регионов Приволжского федерального округа, в % за период с 200</w:t>
      </w:r>
      <w:r w:rsidR="00E30DDD" w:rsidRPr="00BA321C">
        <w:rPr>
          <w:rFonts w:ascii="Times New Roman" w:hAnsi="Times New Roman"/>
          <w:sz w:val="28"/>
          <w:szCs w:val="28"/>
          <w:lang w:eastAsia="ru-RU"/>
        </w:rPr>
        <w:t>5</w:t>
      </w:r>
      <w:r w:rsidRPr="00BA321C">
        <w:rPr>
          <w:rFonts w:ascii="Times New Roman" w:hAnsi="Times New Roman"/>
          <w:sz w:val="28"/>
          <w:szCs w:val="28"/>
          <w:lang w:eastAsia="ru-RU"/>
        </w:rPr>
        <w:t xml:space="preserve"> по 2014гг.</w:t>
      </w:r>
    </w:p>
    <w:p w:rsidR="001B689B" w:rsidRPr="00BA321C" w:rsidRDefault="001B689B" w:rsidP="00BA321C">
      <w:pPr>
        <w:shd w:val="clear" w:color="auto" w:fill="FFFFFF" w:themeFill="background1"/>
        <w:spacing w:after="0" w:line="360" w:lineRule="auto"/>
        <w:ind w:firstLine="851"/>
        <w:jc w:val="both"/>
        <w:rPr>
          <w:rFonts w:ascii="Times New Roman" w:hAnsi="Times New Roman"/>
          <w:sz w:val="28"/>
          <w:szCs w:val="28"/>
          <w:lang w:eastAsia="ru-RU"/>
        </w:rPr>
      </w:pPr>
    </w:p>
    <w:p w:rsidR="00C552A8" w:rsidRPr="00BA321C" w:rsidRDefault="00C552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lang w:eastAsia="ru-RU"/>
        </w:rPr>
        <w:lastRenderedPageBreak/>
        <w:t>Связано это, по всей видимости, с тем, что глубокий экономический спад РФ в предшествующий период времени привел к значительному снижению показателей загрузки производственных и ресурсных мощностей, что, на фоне положительных конъюнктурных факторов внешней и внутренней среды 2005-2014гг., привело к наполнению освободившихся ресурсных ниш и, соответственно, к росту экстенсивных производственных факторов.</w:t>
      </w:r>
    </w:p>
    <w:p w:rsidR="007D04D2" w:rsidRPr="00BA321C" w:rsidRDefault="007D04D2"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Однако уже с 2012 года национальная экономика стала активно проявлять признаки структурного кризиса, в результате как внешних факторов (существенное замедление темпов роста мировой экономики), так и внутренних - «перегрев» денежно-кредитной системы, недостаточные темпы трансформации структуры экономики в пользу высокотехнологичных производств, опережающий рост средних издержек производства в условиях существенного за последние 10 лет роста реальной заработной платы и др. Влияние рассмотренных кризисов вкупе с обострившейся в 2014 году геополитической обстановкой, </w:t>
      </w:r>
      <w:r w:rsidR="00C552A8" w:rsidRPr="00BA321C">
        <w:rPr>
          <w:rFonts w:ascii="Times New Roman" w:hAnsi="Times New Roman"/>
          <w:sz w:val="28"/>
          <w:szCs w:val="28"/>
        </w:rPr>
        <w:t>введеных</w:t>
      </w:r>
      <w:r w:rsidRPr="00BA321C">
        <w:rPr>
          <w:rFonts w:ascii="Times New Roman" w:hAnsi="Times New Roman"/>
          <w:sz w:val="28"/>
          <w:szCs w:val="28"/>
        </w:rPr>
        <w:t xml:space="preserve"> против РФ отраслевых санкций (в первую очередь в финансовой сфере), резкого падения цен на нефть – важнейшего источника доходов российского бюджета будет формировать новый тип экономического развития, основанный на институциональных преобразованиях. В связи с чем в последующие пять лет ожидается корректировка трендов роста субиндексов (</w:t>
      </w:r>
      <w:r w:rsidRPr="00BA321C">
        <w:rPr>
          <w:rFonts w:ascii="Times New Roman" w:hAnsi="Times New Roman"/>
          <w:sz w:val="28"/>
          <w:szCs w:val="28"/>
          <w:lang w:val="en-US"/>
        </w:rPr>
        <w:t>I</w:t>
      </w:r>
      <w:r w:rsidRPr="00BA321C">
        <w:rPr>
          <w:rFonts w:ascii="Times New Roman" w:hAnsi="Times New Roman"/>
          <w:sz w:val="28"/>
          <w:szCs w:val="28"/>
        </w:rPr>
        <w:t xml:space="preserve">э, </w:t>
      </w:r>
      <w:r w:rsidRPr="00BA321C">
        <w:rPr>
          <w:rFonts w:ascii="Times New Roman" w:hAnsi="Times New Roman"/>
          <w:sz w:val="28"/>
          <w:szCs w:val="28"/>
          <w:lang w:val="en-US"/>
        </w:rPr>
        <w:t>I</w:t>
      </w:r>
      <w:r w:rsidRPr="00BA321C">
        <w:rPr>
          <w:rFonts w:ascii="Times New Roman" w:hAnsi="Times New Roman"/>
          <w:sz w:val="28"/>
          <w:szCs w:val="28"/>
        </w:rPr>
        <w:t xml:space="preserve">с, </w:t>
      </w:r>
      <w:r w:rsidRPr="00BA321C">
        <w:rPr>
          <w:rFonts w:ascii="Times New Roman" w:hAnsi="Times New Roman"/>
          <w:sz w:val="28"/>
          <w:szCs w:val="28"/>
          <w:lang w:val="en-US"/>
        </w:rPr>
        <w:t>I</w:t>
      </w:r>
      <w:r w:rsidRPr="00BA321C">
        <w:rPr>
          <w:rFonts w:ascii="Times New Roman" w:hAnsi="Times New Roman"/>
          <w:sz w:val="28"/>
          <w:szCs w:val="28"/>
        </w:rPr>
        <w:t>и), оценивающих социально-экономическую привлекательнолсть регионов</w:t>
      </w:r>
      <w:r w:rsidR="00C552A8" w:rsidRPr="00BA321C">
        <w:rPr>
          <w:rFonts w:ascii="Times New Roman" w:hAnsi="Times New Roman"/>
          <w:sz w:val="28"/>
          <w:szCs w:val="28"/>
        </w:rPr>
        <w:t xml:space="preserve"> в случае реализации адаптационной государственной политики, основанной на модернизации и реформировании институтов развития</w:t>
      </w:r>
      <w:r w:rsidRPr="00BA321C">
        <w:rPr>
          <w:rFonts w:ascii="Times New Roman" w:hAnsi="Times New Roman"/>
          <w:sz w:val="28"/>
          <w:szCs w:val="28"/>
        </w:rPr>
        <w:t xml:space="preserve">. В связи с этим дальнейший рост интегральных значений показателей СЭП регионов будет во многом формироваться динамикой роста институциональных факторов, обеспечивающих инновационно-модернизационные процессы в экономике и способствующие технологическим сдвигам, соответствующим новому шестому технологическому укладу. </w:t>
      </w:r>
    </w:p>
    <w:p w:rsidR="00097F55" w:rsidRPr="00BA321C" w:rsidRDefault="00AA2931"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Измерение укрупненных </w:t>
      </w:r>
      <w:r w:rsidR="00B5787E" w:rsidRPr="00BA321C">
        <w:rPr>
          <w:rFonts w:ascii="Times New Roman" w:hAnsi="Times New Roman"/>
          <w:sz w:val="28"/>
          <w:szCs w:val="28"/>
          <w:lang w:eastAsia="ru-RU"/>
        </w:rPr>
        <w:t>суб</w:t>
      </w:r>
      <w:r w:rsidRPr="00BA321C">
        <w:rPr>
          <w:rFonts w:ascii="Times New Roman" w:hAnsi="Times New Roman"/>
          <w:sz w:val="28"/>
          <w:szCs w:val="28"/>
          <w:lang w:eastAsia="ru-RU"/>
        </w:rPr>
        <w:t>индексов развития социально</w:t>
      </w:r>
      <w:r w:rsidR="007D04D2" w:rsidRPr="00BA321C">
        <w:rPr>
          <w:rFonts w:ascii="Times New Roman" w:hAnsi="Times New Roman"/>
          <w:sz w:val="28"/>
          <w:szCs w:val="28"/>
          <w:lang w:eastAsia="ru-RU"/>
        </w:rPr>
        <w:t xml:space="preserve">го, институционального </w:t>
      </w:r>
      <w:r w:rsidRPr="00BA321C">
        <w:rPr>
          <w:rFonts w:ascii="Times New Roman" w:hAnsi="Times New Roman"/>
          <w:sz w:val="28"/>
          <w:szCs w:val="28"/>
          <w:lang w:eastAsia="ru-RU"/>
        </w:rPr>
        <w:t>и экономическо</w:t>
      </w:r>
      <w:r w:rsidR="007D04D2" w:rsidRPr="00BA321C">
        <w:rPr>
          <w:rFonts w:ascii="Times New Roman" w:hAnsi="Times New Roman"/>
          <w:sz w:val="28"/>
          <w:szCs w:val="28"/>
          <w:lang w:eastAsia="ru-RU"/>
        </w:rPr>
        <w:t>го потенциала</w:t>
      </w:r>
      <w:r w:rsidRPr="00BA321C">
        <w:rPr>
          <w:rFonts w:ascii="Times New Roman" w:hAnsi="Times New Roman"/>
          <w:sz w:val="28"/>
          <w:szCs w:val="28"/>
          <w:lang w:eastAsia="ru-RU"/>
        </w:rPr>
        <w:t xml:space="preserve"> формирует представление </w:t>
      </w:r>
      <w:r w:rsidRPr="00BA321C">
        <w:rPr>
          <w:rFonts w:ascii="Times New Roman" w:hAnsi="Times New Roman"/>
          <w:sz w:val="28"/>
          <w:szCs w:val="28"/>
          <w:lang w:eastAsia="ru-RU"/>
        </w:rPr>
        <w:lastRenderedPageBreak/>
        <w:t xml:space="preserve">об основных составляющих, определяющих </w:t>
      </w:r>
      <w:r w:rsidR="007D04D2" w:rsidRPr="00BA321C">
        <w:rPr>
          <w:rFonts w:ascii="Times New Roman" w:hAnsi="Times New Roman"/>
          <w:sz w:val="28"/>
          <w:szCs w:val="28"/>
          <w:lang w:eastAsia="ru-RU"/>
        </w:rPr>
        <w:t xml:space="preserve">тренды </w:t>
      </w:r>
      <w:r w:rsidRPr="00BA321C">
        <w:rPr>
          <w:rFonts w:ascii="Times New Roman" w:hAnsi="Times New Roman"/>
          <w:sz w:val="28"/>
          <w:szCs w:val="28"/>
          <w:lang w:eastAsia="ru-RU"/>
        </w:rPr>
        <w:t>социально-экономическ</w:t>
      </w:r>
      <w:r w:rsidR="007D04D2" w:rsidRPr="00BA321C">
        <w:rPr>
          <w:rFonts w:ascii="Times New Roman" w:hAnsi="Times New Roman"/>
          <w:sz w:val="28"/>
          <w:szCs w:val="28"/>
          <w:lang w:eastAsia="ru-RU"/>
        </w:rPr>
        <w:t>ой привлекательности</w:t>
      </w:r>
      <w:r w:rsidRPr="00BA321C">
        <w:rPr>
          <w:rFonts w:ascii="Times New Roman" w:hAnsi="Times New Roman"/>
          <w:sz w:val="28"/>
          <w:szCs w:val="28"/>
          <w:lang w:eastAsia="ru-RU"/>
        </w:rPr>
        <w:t xml:space="preserve"> регион</w:t>
      </w:r>
      <w:r w:rsidR="007D04D2" w:rsidRPr="00BA321C">
        <w:rPr>
          <w:rFonts w:ascii="Times New Roman" w:hAnsi="Times New Roman"/>
          <w:sz w:val="28"/>
          <w:szCs w:val="28"/>
          <w:lang w:eastAsia="ru-RU"/>
        </w:rPr>
        <w:t>ов</w:t>
      </w:r>
      <w:r w:rsidRPr="00BA321C">
        <w:rPr>
          <w:rFonts w:ascii="Times New Roman" w:hAnsi="Times New Roman"/>
          <w:sz w:val="28"/>
          <w:szCs w:val="28"/>
          <w:lang w:eastAsia="ru-RU"/>
        </w:rPr>
        <w:t xml:space="preserve">. Это, в свою очередь, </w:t>
      </w:r>
      <w:r w:rsidR="00012C00" w:rsidRPr="00BA321C">
        <w:rPr>
          <w:rFonts w:ascii="Times New Roman" w:hAnsi="Times New Roman"/>
          <w:sz w:val="28"/>
          <w:szCs w:val="28"/>
          <w:lang w:eastAsia="ru-RU"/>
        </w:rPr>
        <w:t xml:space="preserve">может и должно ложиться в систему обоснования приоритетов регионального развития на средне- и долгосрочную перспективы. Вместе с тем, анализ и оценка подобных индикаторов, недостаточны для обоснования основных направлений в сфере развития и размещения производительных сил. Необходимы дополнения, раскрывающие </w:t>
      </w:r>
      <w:r w:rsidR="00E73249" w:rsidRPr="00BA321C">
        <w:rPr>
          <w:rFonts w:ascii="Times New Roman" w:hAnsi="Times New Roman"/>
          <w:sz w:val="28"/>
          <w:szCs w:val="28"/>
          <w:lang w:eastAsia="ru-RU"/>
        </w:rPr>
        <w:t xml:space="preserve">особенности целой совокупности факторов, влияющих на рассматриваемые процессы. </w:t>
      </w:r>
    </w:p>
    <w:p w:rsidR="007D04D2" w:rsidRPr="00BA321C" w:rsidRDefault="007D04D2" w:rsidP="00BA321C">
      <w:pPr>
        <w:shd w:val="clear" w:color="auto" w:fill="FFFFFF" w:themeFill="background1"/>
        <w:spacing w:after="0" w:line="360" w:lineRule="auto"/>
        <w:ind w:firstLine="851"/>
        <w:jc w:val="both"/>
        <w:rPr>
          <w:rFonts w:ascii="Times New Roman" w:hAnsi="Times New Roman"/>
          <w:sz w:val="28"/>
          <w:szCs w:val="28"/>
          <w:lang w:eastAsia="ru-RU"/>
        </w:rPr>
      </w:pPr>
    </w:p>
    <w:p w:rsidR="00194029" w:rsidRPr="00BA321C" w:rsidRDefault="00194029" w:rsidP="00C35E98">
      <w:pPr>
        <w:pStyle w:val="3"/>
      </w:pPr>
      <w:bookmarkStart w:id="8" w:name="_Toc345594334"/>
      <w:bookmarkStart w:id="9" w:name="_Toc451869593"/>
      <w:r w:rsidRPr="00BA321C">
        <w:t>2.</w:t>
      </w:r>
      <w:r w:rsidR="0092457D" w:rsidRPr="00BA321C">
        <w:t>3</w:t>
      </w:r>
      <w:r w:rsidRPr="00BA321C">
        <w:t xml:space="preserve"> </w:t>
      </w:r>
      <w:r w:rsidR="00EA0808" w:rsidRPr="00BA321C">
        <w:t>Территориально</w:t>
      </w:r>
      <w:r w:rsidR="005D0407" w:rsidRPr="00BA321C">
        <w:t>-д</w:t>
      </w:r>
      <w:r w:rsidRPr="00BA321C">
        <w:t xml:space="preserve">емографический «каркас» </w:t>
      </w:r>
      <w:r w:rsidR="00EA0808" w:rsidRPr="00BA321C">
        <w:t xml:space="preserve">промышленно-индустриального </w:t>
      </w:r>
      <w:r w:rsidRPr="00BA321C">
        <w:t xml:space="preserve">развития производительных сил </w:t>
      </w:r>
      <w:bookmarkEnd w:id="8"/>
      <w:r w:rsidR="003063E9" w:rsidRPr="00BA321C">
        <w:t>ПФО</w:t>
      </w:r>
      <w:bookmarkEnd w:id="9"/>
    </w:p>
    <w:p w:rsidR="0092457D" w:rsidRPr="00BA321C" w:rsidRDefault="0092457D"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Социально-экономическая привлекательность регионов </w:t>
      </w:r>
      <w:r w:rsidR="00C552A8" w:rsidRPr="00BA321C">
        <w:rPr>
          <w:rFonts w:ascii="Times New Roman" w:hAnsi="Times New Roman"/>
          <w:sz w:val="28"/>
          <w:szCs w:val="28"/>
        </w:rPr>
        <w:t xml:space="preserve">в контексте размещения и развития производительных сил </w:t>
      </w:r>
      <w:r w:rsidRPr="00BA321C">
        <w:rPr>
          <w:rFonts w:ascii="Times New Roman" w:hAnsi="Times New Roman"/>
          <w:sz w:val="28"/>
          <w:szCs w:val="28"/>
        </w:rPr>
        <w:t xml:space="preserve">складывается из множества факторов, подробно рассмотренных в предыдущих разделах диссертации. Каждый из них вносит свой вклад в формирование интегральных значений индексов СЭП. По результатам проведенных исследований в соответствии с изложенными в работе методическими подходами, определены значения весовых коэффициентов для каждого укрупненного фактора, включающего в себя совокупность показателей. При этом, в соответствии с полученными оценками, </w:t>
      </w:r>
      <w:r w:rsidR="009836F9" w:rsidRPr="00BA321C">
        <w:rPr>
          <w:rFonts w:ascii="Times New Roman" w:hAnsi="Times New Roman"/>
          <w:sz w:val="28"/>
          <w:szCs w:val="28"/>
        </w:rPr>
        <w:t xml:space="preserve">в абсолютном большинстве регионов ПФО наибольшим уровнем воздействия на развитие ресурсно-инфраструктурного потенциала регионов, оказывающего, в свою очередь, воздействие на привлекательность развития производительных сил, обладает фактор демографического потенциала (Приложение 3). В связи с этим представляется целесообразным подробнее остановиться на изучении данного фактора в вопросе определения социально-экономической привлекательности регионов в контексте изучаемого в исследовании </w:t>
      </w:r>
      <w:r w:rsidR="00C552A8" w:rsidRPr="00BA321C">
        <w:rPr>
          <w:rFonts w:ascii="Times New Roman" w:hAnsi="Times New Roman"/>
          <w:sz w:val="28"/>
          <w:szCs w:val="28"/>
        </w:rPr>
        <w:t>объекта</w:t>
      </w:r>
      <w:r w:rsidR="009836F9" w:rsidRPr="00BA321C">
        <w:rPr>
          <w:rFonts w:ascii="Times New Roman" w:hAnsi="Times New Roman"/>
          <w:sz w:val="28"/>
          <w:szCs w:val="28"/>
        </w:rPr>
        <w:t xml:space="preserve"> исследования.</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Перспективы </w:t>
      </w:r>
      <w:r w:rsidR="00EA0808" w:rsidRPr="00BA321C">
        <w:rPr>
          <w:rFonts w:ascii="Times New Roman" w:hAnsi="Times New Roman"/>
          <w:sz w:val="28"/>
          <w:szCs w:val="28"/>
        </w:rPr>
        <w:t>территориального</w:t>
      </w:r>
      <w:r w:rsidRPr="00BA321C">
        <w:rPr>
          <w:rFonts w:ascii="Times New Roman" w:hAnsi="Times New Roman"/>
          <w:sz w:val="28"/>
          <w:szCs w:val="28"/>
        </w:rPr>
        <w:t xml:space="preserve"> развития производительных сил во многом основываются на демографическом профиле регионов. Эффективность их развития не может не основываться на понимании </w:t>
      </w:r>
      <w:r w:rsidRPr="00BA321C">
        <w:rPr>
          <w:rFonts w:ascii="Times New Roman" w:hAnsi="Times New Roman"/>
          <w:sz w:val="28"/>
          <w:szCs w:val="28"/>
        </w:rPr>
        <w:lastRenderedPageBreak/>
        <w:t>существующих и прогнозируемых демографических трендов, во многом определяющих потенциал использования производительных сил. Таким образом при решении организационно-экономических задач размещения региональных и территориальных производительных сил необходимо учитывать целый спектр характеристик демографических тенденций. К ним необходимо отнести, в первую очередь, в контексте изучаемого предмета исследования, сложившийся и формирующийся тип городского расселения, а также присущие ему положительные или отрицательные тренды.</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Традиционно основу демографического каркаса регионов Приволжского федерального округа составля</w:t>
      </w:r>
      <w:r w:rsidR="00640DAB" w:rsidRPr="00BA321C">
        <w:rPr>
          <w:rFonts w:ascii="Times New Roman" w:hAnsi="Times New Roman"/>
          <w:sz w:val="28"/>
          <w:szCs w:val="28"/>
        </w:rPr>
        <w:t xml:space="preserve">ют </w:t>
      </w:r>
      <w:r w:rsidRPr="00BA321C">
        <w:rPr>
          <w:rFonts w:ascii="Times New Roman" w:hAnsi="Times New Roman"/>
          <w:sz w:val="28"/>
          <w:szCs w:val="28"/>
        </w:rPr>
        <w:t>Саратовская область, Республика Татарстан, Самарская область, Нижегородская область, Оренбургская область, Пермская область, наряду со стремительно развивающейся в последнее столетие в демографическом плане Республикой Башкортостан и образуют базовый демографический каркас Приволжского федерального округа. Именно данная совокупность регионов является, по сути, приоритетной с точки зрения развития производительных сил, опред</w:t>
      </w:r>
      <w:r w:rsidR="00C7304D" w:rsidRPr="00BA321C">
        <w:rPr>
          <w:rFonts w:ascii="Times New Roman" w:hAnsi="Times New Roman"/>
          <w:sz w:val="28"/>
          <w:szCs w:val="28"/>
        </w:rPr>
        <w:t>е</w:t>
      </w:r>
      <w:r w:rsidRPr="00BA321C">
        <w:rPr>
          <w:rFonts w:ascii="Times New Roman" w:hAnsi="Times New Roman"/>
          <w:sz w:val="28"/>
          <w:szCs w:val="28"/>
        </w:rPr>
        <w:t>ляющих инновационно-промышленный профиль ПФО.</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Республика Башкортостан в приведенном списке регионов была единственным регионом, численность городского населения городов которого составляла всего 59 тыс.человек, что более, чем в 5,2 раза меньше численности городского населения Саратовской области, в 3,4 раза – численности городского населения территории в границах нынешней Республики Татарстан и в 2,6 раза – граничащей с Башкортостаном Самарской области. Доля городского населения территории в границах нынешней Республики Башкортостан в общей его численности территории в границах нынешнего ПФО составляла в </w:t>
      </w:r>
      <w:r w:rsidR="00DE0652" w:rsidRPr="00BA321C">
        <w:rPr>
          <w:rFonts w:ascii="Times New Roman" w:hAnsi="Times New Roman"/>
          <w:sz w:val="28"/>
          <w:szCs w:val="28"/>
        </w:rPr>
        <w:t>1897</w:t>
      </w:r>
      <w:r w:rsidRPr="00BA321C">
        <w:rPr>
          <w:rFonts w:ascii="Times New Roman" w:hAnsi="Times New Roman"/>
          <w:sz w:val="28"/>
          <w:szCs w:val="28"/>
        </w:rPr>
        <w:t xml:space="preserve"> году в 2 раза меньше, чем в Пензенской области и равнялась всего 3,8% (уступая удельному весу в городском расселении территорий в нынешних границах Кировской области, Республики Удмуртия и несколько превосходя (на 0,2%) удельный вес Ульяновской области).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На территории в нынешних границах Республики Башкортостан в </w:t>
      </w:r>
      <w:r w:rsidR="00DE0652" w:rsidRPr="00BA321C">
        <w:rPr>
          <w:rFonts w:ascii="Times New Roman" w:hAnsi="Times New Roman"/>
          <w:sz w:val="28"/>
          <w:szCs w:val="28"/>
        </w:rPr>
        <w:t>1897</w:t>
      </w:r>
      <w:r w:rsidRPr="00BA321C">
        <w:rPr>
          <w:rFonts w:ascii="Times New Roman" w:hAnsi="Times New Roman"/>
          <w:sz w:val="28"/>
          <w:szCs w:val="28"/>
        </w:rPr>
        <w:t xml:space="preserve"> году ни один город не относился при проведении переписи к центральным. Городская сеть Республики Башкортостан  состояла из 7 городов. Самым крупным был г.Стерлитамак (15,5 тыс.человек). За ним по численности городского населения шли г.Бирск (8,6 тыс.человек), г.Белорецк (8,3 тыс.человек). В г.Уфа проживало 5 тыс.человек, других 3 городах Благовещенске, Белебее, Дюртюли – 21,6 тыс.человек. Заметим, что сегодня г.Благовещенск и г.Уфа агломерационно тесно связаны (в </w:t>
      </w:r>
      <w:r w:rsidR="00DE0652" w:rsidRPr="00BA321C">
        <w:rPr>
          <w:rFonts w:ascii="Times New Roman" w:hAnsi="Times New Roman"/>
          <w:sz w:val="28"/>
          <w:szCs w:val="28"/>
        </w:rPr>
        <w:t>1897</w:t>
      </w:r>
      <w:r w:rsidRPr="00BA321C">
        <w:rPr>
          <w:rFonts w:ascii="Times New Roman" w:hAnsi="Times New Roman"/>
          <w:sz w:val="28"/>
          <w:szCs w:val="28"/>
        </w:rPr>
        <w:t xml:space="preserve"> году в Благовещенске проживало 6 тыс. 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Добыча урало-поволжской нефти, ее переработка и нефтехимия, проводимая СССР национальная политика в отношении автономий существенно изменили демографию Республики Башкортостан. В 1989 году в г.Уфа уже проживало 1079,8 тыс. человек, в г.Стерлитамак – 247,7 тыс.человек. Все население городов Республики Башкортостан увеличилось до 2327,3 тыс.человек в 1989 году, составив уже 11,7% городского населения всех регионов ПФО.</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Интересно, что «центральные города», образующие базовый «демографический каркас» городского расселения Приволжского федерального округа в 1989 году насчитывали: г.Саратов в агломерации с г.Энгельсом 1084,3 тыс.человек, г.Казань – 1085,3 тыс.человек, г.Нижний Новгород (без городов, входящих в его агломерацию) – 1434,7 тыс.человек, г. Самара – 1257,3 тыс.человек, г.Оренбург – 544,2 тыс.человек, г.Пермь (без г.Краснокамск, входящего в агломерацию) – 1092,4 тыс.человек, г.Уфа – 1079,8 тыс.человек. То есть, все кроме Оренбурга были «миллионниками». Заметим, что на территории в границах современной Российской Федерации в 1989 году с г.Москвой и г.Ленинградом (нынешним Санкт-Петербургом) таких городов было всего 11. Без «столичных» городов их было всего 9: шесть нами указанных, а также города Ростов-на-Дону, Екатеринбург, Новосибирск. Таким образом, если не брать во внимание «столичные города» - «миллионники» более высокого уровня, две трети городов «миллионников» </w:t>
      </w:r>
      <w:r w:rsidRPr="00BA321C">
        <w:rPr>
          <w:rFonts w:ascii="Times New Roman" w:hAnsi="Times New Roman"/>
          <w:sz w:val="28"/>
          <w:szCs w:val="28"/>
        </w:rPr>
        <w:lastRenderedPageBreak/>
        <w:t>были расположены в 1989 году на территории Приволжского федерального округа.</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К менее крупным регионам ПФО «следующего уровня» при анализе городского расселения следует отнести Кировскую, Ульяновскую области и Удмуртскую республику. В </w:t>
      </w:r>
      <w:r w:rsidR="00DE0652" w:rsidRPr="00BA321C">
        <w:rPr>
          <w:rFonts w:ascii="Times New Roman" w:hAnsi="Times New Roman"/>
          <w:sz w:val="28"/>
          <w:szCs w:val="28"/>
        </w:rPr>
        <w:t>1897</w:t>
      </w:r>
      <w:r w:rsidRPr="00BA321C">
        <w:rPr>
          <w:rFonts w:ascii="Times New Roman" w:hAnsi="Times New Roman"/>
          <w:sz w:val="28"/>
          <w:szCs w:val="28"/>
        </w:rPr>
        <w:t xml:space="preserve"> году на территории в границах нынешней Кировской области городское население приблизительно составляло 70,5 тыс.человек, Удмуртской республики – 67,3 тыс.человек, Ульяновской области – 55,8 тыс.человек. Города Киров (Вятка) и Ульяновск (Симбирск) относились при проводимой переписи населения </w:t>
      </w:r>
      <w:r w:rsidR="00DE0652" w:rsidRPr="00BA321C">
        <w:rPr>
          <w:rFonts w:ascii="Times New Roman" w:hAnsi="Times New Roman"/>
          <w:sz w:val="28"/>
          <w:szCs w:val="28"/>
        </w:rPr>
        <w:t>1897</w:t>
      </w:r>
      <w:r w:rsidRPr="00BA321C">
        <w:rPr>
          <w:rFonts w:ascii="Times New Roman" w:hAnsi="Times New Roman"/>
          <w:sz w:val="28"/>
          <w:szCs w:val="28"/>
        </w:rPr>
        <w:t xml:space="preserve"> года к центральным. Городская система на территории в границах Кировской области состояла из 13 городов, Ульяновской области – из 3 городов, Удмуртской республики – из 4 городов.</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г.Киров (Вятка) в </w:t>
      </w:r>
      <w:r w:rsidR="00DE0652" w:rsidRPr="00BA321C">
        <w:rPr>
          <w:rFonts w:ascii="Times New Roman" w:hAnsi="Times New Roman"/>
          <w:sz w:val="28"/>
          <w:szCs w:val="28"/>
        </w:rPr>
        <w:t>1897</w:t>
      </w:r>
      <w:r w:rsidRPr="00BA321C">
        <w:rPr>
          <w:rFonts w:ascii="Times New Roman" w:hAnsi="Times New Roman"/>
          <w:sz w:val="28"/>
          <w:szCs w:val="28"/>
        </w:rPr>
        <w:t xml:space="preserve"> году проживало 24,8 тыс.человек населения. В других городах нынешней Кировской области проживало 45,7 тыс.человек, в том числе: в г.Советск  (Кукарка, посал) – 5,2 тыс.человек, городах Яранск и Нолинск – по 4,8 тыс.человек, г.Омутнинск )Омутнинский завод) – 4,7 тыс.человек, г.Уржум – 4 4 тыс.человек, г.Котельнич – 4,2 тыс.человек, г.Кирс (посад, Кирсинский завод) – 4 тыс.человек. Во втором по размеру сегодня городе Кировской области – г.Кирово-Чепецке проживало в то время всего 3,2 тыс.человек. В процессе промышленно-индустриального и демографического развития  города Киров и Кирово-Чепецк постепенно образовали агломерацию.</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г.Ижевск (ижевский завод) в </w:t>
      </w:r>
      <w:r w:rsidR="00DE0652" w:rsidRPr="00BA321C">
        <w:rPr>
          <w:rFonts w:ascii="Times New Roman" w:hAnsi="Times New Roman"/>
          <w:sz w:val="28"/>
          <w:szCs w:val="28"/>
        </w:rPr>
        <w:t>1897</w:t>
      </w:r>
      <w:r w:rsidRPr="00BA321C">
        <w:rPr>
          <w:rFonts w:ascii="Times New Roman" w:hAnsi="Times New Roman"/>
          <w:sz w:val="28"/>
          <w:szCs w:val="28"/>
        </w:rPr>
        <w:t xml:space="preserve"> году </w:t>
      </w:r>
      <w:r w:rsidR="004D5DB0" w:rsidRPr="00BA321C">
        <w:rPr>
          <w:rFonts w:ascii="Times New Roman" w:hAnsi="Times New Roman"/>
          <w:sz w:val="28"/>
          <w:szCs w:val="28"/>
        </w:rPr>
        <w:t>проживало</w:t>
      </w:r>
      <w:r w:rsidRPr="00BA321C">
        <w:rPr>
          <w:rFonts w:ascii="Times New Roman" w:hAnsi="Times New Roman"/>
          <w:sz w:val="28"/>
          <w:szCs w:val="28"/>
        </w:rPr>
        <w:t xml:space="preserve"> 21,</w:t>
      </w:r>
      <w:r w:rsidR="004D5DB0" w:rsidRPr="00BA321C">
        <w:rPr>
          <w:rFonts w:ascii="Times New Roman" w:hAnsi="Times New Roman"/>
          <w:sz w:val="28"/>
          <w:szCs w:val="28"/>
        </w:rPr>
        <w:t>0</w:t>
      </w:r>
      <w:r w:rsidRPr="00BA321C">
        <w:rPr>
          <w:rFonts w:ascii="Times New Roman" w:hAnsi="Times New Roman"/>
          <w:sz w:val="28"/>
          <w:szCs w:val="28"/>
        </w:rPr>
        <w:t xml:space="preserve"> тыс.человек населения, в г.Воткинск – 21 тыс.человек. Уездным городом являлся г.Сарапул, расположенный на железной дороге, связывающей г.Казань и г.Екатеринбург. В нем в соответствии с данными переписи </w:t>
      </w:r>
      <w:r w:rsidR="00DE0652" w:rsidRPr="00BA321C">
        <w:rPr>
          <w:rFonts w:ascii="Times New Roman" w:hAnsi="Times New Roman"/>
          <w:sz w:val="28"/>
          <w:szCs w:val="28"/>
        </w:rPr>
        <w:t>1897</w:t>
      </w:r>
      <w:r w:rsidRPr="00BA321C">
        <w:rPr>
          <w:rFonts w:ascii="Times New Roman" w:hAnsi="Times New Roman"/>
          <w:sz w:val="28"/>
          <w:szCs w:val="28"/>
        </w:rPr>
        <w:t xml:space="preserve"> года проживало 21,4 тыс.человек. В другом городе Удмуртской республики – г.Глазов насчитывалось тогда всего 3,4 тыс.человек.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Находящийся заметно южнее и несколько западнее г.Ульяновск находился в </w:t>
      </w:r>
      <w:r w:rsidR="00DE0652" w:rsidRPr="00BA321C">
        <w:rPr>
          <w:rFonts w:ascii="Times New Roman" w:hAnsi="Times New Roman"/>
          <w:sz w:val="28"/>
          <w:szCs w:val="28"/>
        </w:rPr>
        <w:t>1897</w:t>
      </w:r>
      <w:r w:rsidRPr="00BA321C">
        <w:rPr>
          <w:rFonts w:ascii="Times New Roman" w:hAnsi="Times New Roman"/>
          <w:sz w:val="28"/>
          <w:szCs w:val="28"/>
        </w:rPr>
        <w:t xml:space="preserve"> году 43,3 тыс.человек и относился в классификации </w:t>
      </w:r>
      <w:r w:rsidRPr="00BA321C">
        <w:rPr>
          <w:rFonts w:ascii="Times New Roman" w:hAnsi="Times New Roman"/>
          <w:sz w:val="28"/>
          <w:szCs w:val="28"/>
        </w:rPr>
        <w:lastRenderedPageBreak/>
        <w:t>российских городов к центральным городам. Двумя другими городами территории в нынешних границах Ульяновской области являлись г.Дмитров град (Мелекесс, посад) и уездный город Сенгилей. В первом проживало 6,8 тыс.человек населения, во втором – 5,7 тыс.человек.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Всего на города в нынешних границах Кировской, Ульяновской областей и Удмуртской республики приходилось в структуре городского населения городов регионов ПФО в </w:t>
      </w:r>
      <w:r w:rsidR="00DE0652" w:rsidRPr="00BA321C">
        <w:rPr>
          <w:rFonts w:ascii="Times New Roman" w:hAnsi="Times New Roman"/>
          <w:sz w:val="28"/>
          <w:szCs w:val="28"/>
        </w:rPr>
        <w:t>1897</w:t>
      </w:r>
      <w:r w:rsidRPr="00BA321C">
        <w:rPr>
          <w:rFonts w:ascii="Times New Roman" w:hAnsi="Times New Roman"/>
          <w:sz w:val="28"/>
          <w:szCs w:val="28"/>
        </w:rPr>
        <w:t xml:space="preserve"> году 12,4%. В 1989 году по данным переписи населения эта доля увеличилась  до 13,4%. В послекризисном 2002 году она составила 13,04%, в 2010 году – 13,2%.</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Остальные 4,4% городского населения в нынешних границах ПФО (кроме уже нами рассмотренных 11 регионов) приходились на Республику Мордовию (2,4%), Чувашскую республику (1,6%), Республику Марий Эл (0,4%). При этом по данным переписи </w:t>
      </w:r>
      <w:r w:rsidR="00DE0652" w:rsidRPr="00BA321C">
        <w:rPr>
          <w:rFonts w:ascii="Times New Roman" w:hAnsi="Times New Roman"/>
          <w:sz w:val="28"/>
          <w:szCs w:val="28"/>
        </w:rPr>
        <w:t>1897</w:t>
      </w:r>
      <w:r w:rsidRPr="00BA321C">
        <w:rPr>
          <w:rFonts w:ascii="Times New Roman" w:hAnsi="Times New Roman"/>
          <w:sz w:val="28"/>
          <w:szCs w:val="28"/>
        </w:rPr>
        <w:t xml:space="preserve"> года на территории в нынешних границах Республики Мордовия проживало 36,8 тыс.человек городского населения, в более северно расположенной Чувашской республике – 25,5 тыс.человек, и в еще более северной Республике Марий Эл – всего 6,8 тыс.человек. В Республике Мордовия насчитывалось 6 городов, Чувашской Республике – 5 городов, Республике Марий Эл – 2 города. И это при сопоставимой площади территорий этих республик: Республика Мордовия – 26200 кв.км., Чувашская республика – 18300 кв.км., Республика Марий Эл – 23200 кв.км.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г.Саранске  в </w:t>
      </w:r>
      <w:r w:rsidR="00DE0652" w:rsidRPr="00BA321C">
        <w:rPr>
          <w:rFonts w:ascii="Times New Roman" w:hAnsi="Times New Roman"/>
          <w:sz w:val="28"/>
          <w:szCs w:val="28"/>
        </w:rPr>
        <w:t>1897</w:t>
      </w:r>
      <w:r w:rsidRPr="00BA321C">
        <w:rPr>
          <w:rFonts w:ascii="Times New Roman" w:hAnsi="Times New Roman"/>
          <w:sz w:val="28"/>
          <w:szCs w:val="28"/>
        </w:rPr>
        <w:t xml:space="preserve"> году проживало 13,7 тыс.человек населения. В других городах на территории в нынешних границах Республики Мордовии насчитывалось 23,1 тыс.человек. В том числе: в г.Темников – 5,7 тыс.человек, г.Краснослободск – 7,4 тыс.человек, г.Ардатов – 4,8 тыс.человек, г.Инсар – 4,8 тыс.человек. В Чувашской республике в </w:t>
      </w:r>
      <w:r w:rsidR="00DE0652" w:rsidRPr="00BA321C">
        <w:rPr>
          <w:rFonts w:ascii="Times New Roman" w:hAnsi="Times New Roman"/>
          <w:sz w:val="28"/>
          <w:szCs w:val="28"/>
        </w:rPr>
        <w:t>1897</w:t>
      </w:r>
      <w:r w:rsidRPr="00BA321C">
        <w:rPr>
          <w:rFonts w:ascii="Times New Roman" w:hAnsi="Times New Roman"/>
          <w:sz w:val="28"/>
          <w:szCs w:val="28"/>
        </w:rPr>
        <w:t xml:space="preserve"> году самым крупным городом был достаточно близкий к г.Саранск г.Алатырь – 11,1 тыс.человек. В находящихся городках на Волге Чебоксарах и Мариинском Посаде проживало, соответственно, 4,6 и 5 тыс.человек. В городах, находящихся на тракте Казань – Нижний Новгород Цивильске – 23 тыс.человек, Ядрине – 2,5 </w:t>
      </w:r>
      <w:r w:rsidRPr="00BA321C">
        <w:rPr>
          <w:rFonts w:ascii="Times New Roman" w:hAnsi="Times New Roman"/>
          <w:sz w:val="28"/>
          <w:szCs w:val="28"/>
        </w:rPr>
        <w:lastRenderedPageBreak/>
        <w:t>тыс.человек. В Республике Марий Эл самым крупным был волжский город Козьмодемьянск (Васюки) с населением 5,2 тыс.человек и г.Йошкар-Ола – с 1,6 тыс.человек.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целом при анализе демографии регионов Приволжского федерального округа выделяются своего рода «разделяющие региональные» зоны, включающие в себя с севера на юг, юго-запад территории Кировской области, Республики Марий Эл, Чувашской республики, Республики Мордовия и с запада на восток территории Мордовии, Ульяновской области до границы с Республикой Башкортостан.</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Если исключить г.Киров и г.Кирово-Чепецк и г.Слободской, входящие в его агломерации из численности городского населения Кировской области, то оставшаяся часть по состоянию на 1989 год может быть оценена в 275,9 тыс.человек (или 31,1% городского населения Кировской области), а по состоянию на 2010 год – 215,7 тыс.человек (или 26,8%). То есть население городов за пределами агломерации г.Кирова сократилось на 21,8% (в то время как в самой агломерации – всего на 9,3%). В территориальной «полосе» западнее агломерации г.Кирова (с севера на юг), разделяющей ее с Нижегородской областью, сокращение было значительнее: поселок городского типа Юрья (-61,7%), г.Орлов (Халтурин) (-34,6%), г.Мураши (-31,3%), г.Котельнич (-30,2%), г.Зуевка (-24,8%), г.Малмыж (-21,7%), г.Вятские Поляны (-21,6%). Лишь в городах Яранск, Уржум, Нолинск сокращение с 1989 по 2010 годы составило, соответственно, - 15,2%, 15% и 11,1%.</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Республике Марий Эл в указанной «разделяющей региональной» зоне кроме столицы республики г.Йошкар-Ола, где население увеличилось с 241,5 тыс.человек в 1989 году до 248,8 тыс.человек в 2010 году, находилось всего два города: г.Козьмодемьянск и г.Звенигово. Оба города расположены на Волге, а не в лесах Марий Эл. В г.Козьмодемьянск с 1989 по 2010 годы сокращение населения составило 12,7%, в г.Звенигово – 16,1%. Третий город, г.Волжск, мы относим к агломерационной зоне г.Казани (здесь сокращение городского населения за указанный период составило 9,3%).</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В Чувашской республике так же, как и в предыдущих рассмотренных двух регионах выделяется в целом благополучная агломерационная зона г.Чебоксары, включающая города Новочебоксарск, Цивильск, Мариинский Посад. Здесь с 1989 по 2010 годы население увеличилось с 556,5 тыс.человек до 600,4 тыс.человек (в основном за счет притока сельского населения). Особое положение в Чувашской республике занимает находящийся на автомагистрали Чебоксары-Нижний Новгород г.Ядрин. Население этого города сократилось всего на 4%. В других же городах чуть более удаленных от городов Чебоксары и Новочебоксарск сокращение населения с 1989 по 2010 годы снизилась на 6% до 9,4 тыс.человек.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граничащей с Республикой Мордовия западной части Ульяновской области в рассматриваемой «разделяющей региональной» зоне находятся  3 города: Инза, Барыш, Сенгилей. Два первых тесно связаны с железной дорогой Сызрань – Рузаевка – Москва. В г.Барыш сокращение населения произошло с 1989 по 2010 годы на 14,7%, в г.Инза – на 12,1%. В г.Сенгилей, хотя он находится на правом берегу Волги, сокращение населения составило %. В восточной части Ульяновской области, кроме г.Дмитровград, - города, которые развивались в рамках реализации ядерной программы, - других городов сформировано не было. Как и в случаях с предыдущими регионами «разделяющей зоны» основная часть населения городов была сконцентрирована в агломерации г.Ульяновск, включающей в себя  г.Новоульяновск. В составе агломерации также следует рассматривать поселки городского типа Октябрьский, Мирный, Чердаклы, Старая Майна - на левом берегу Волги, Ишеевка - на правом берегу Волги.</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Население городов Ульяновск и Новоульяновск сократилось с 640,6 тыс.человек в 1989 году до 630,8 тыс.человек в 2010 году (или всего на 1,5%). При этом удельный вес этих двух городов  в населении городов Ульяновской области увеличился с 78,5% до 79,2%. С основными поселками городского типа Чердаклы, Старая Майна, Ишеевка городское население агломерации снизилось с 667,5 тыс.человек до 659,1 тыс.человек (или на 1,3%) при более </w:t>
      </w:r>
      <w:r w:rsidRPr="00BA321C">
        <w:rPr>
          <w:rFonts w:ascii="Times New Roman" w:hAnsi="Times New Roman"/>
          <w:sz w:val="28"/>
          <w:szCs w:val="28"/>
        </w:rPr>
        <w:lastRenderedPageBreak/>
        <w:t>быстром увеличении доли агломерации в численности всего городского населения Ульяновской области с 67,1% в 1989 году до 69,3% в 2010 году.</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Если к перечисленным городам добавить в целом достаточно близкий г.Ульяновск (70-76 км), г.Дмитровград, то тогда получится следующая картина. Численность городского населения Дмитровграда между переписями населения 1989 и 2010 годов сократилась незначительно с 123,1 тыс.человек до 122,6 тыс.человек (или всего на 0,4%). Добавив эти значения к численности населения городов Ульяновск и Новоульяновск, получим, соответственно, 763,7 и 753,7 тыс.человек и сокращение численности городского населения на 1,3%. Удельный вес этих трех городов в общей численности городского населения Ульяновской области составил в 1989 году 93,6%, увеличившись в 2010 году до 94,6%.</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Если учесть также поселок городского типа Новая Майна, находящийся восточнее в нескольких километрах от Дмитровграда, то получится, что в целом на города Ульяновск, Новоульяновск, Дмитровград и окружающие их поселки городского типа приходилось в 1989 году приблизительно 79,4%, а в 2010 году 82,2% всего городского населения Ульяновской области.</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Низкая плотность за пределами крупных городов и прилегающих к ним городских поселений является характерным признаком для городских систем и систем городских поселений рассматриваемой нами «разделяющей региональной» зоны. При их анализе следует также обратить внимание на то, что именно в этой описанной зоне наблюдается «ресурсный разрыв» в обеспечении городов, городских поселений, промышленных и иных предприятий электроэнергией даже при существующих сегодня энергетических нагрузках. То есть любой масштабный промышленно-индустриальный проект в «разделяющей» зоне потребует принятия параллельных решений по увеличению существующих мощностей по их «переброске» на сравнительно большие расстояния.</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Вместе с тем, понимание наличия такой «разделяющей региональной» зоны по сути разбивает Приволжский федеральный округ, как минимум, на три большие подсистемы. Первую образует Нижегородская область, вторую – южные регионы – Саратовская, Пензенская, Оренбургская, Самарская области, третью – Республики Татарстан и Башкортостан, Пермская область, центральная и восточная части Кировской области, Удмуртская республика. Таким образом можно предположить, что именно данные регионы и будут определять развитие производительных сил в ПФО в будущем. При этом, необходимо подчеркнуть, что данное развитие будет происходить в русле формирования интенсивных факторов экономического роста, в силу сформированного в рассматриваемых регионах в последние десятилетия потенциала человеческого капитала.</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целом динамика структуры городского населения регионов Приволжского федерального округа по итогам последней переписи населения приведена в таблице 2.</w:t>
      </w:r>
      <w:r w:rsidR="00090552" w:rsidRPr="00BA321C">
        <w:rPr>
          <w:rFonts w:ascii="Times New Roman" w:hAnsi="Times New Roman"/>
          <w:sz w:val="28"/>
          <w:szCs w:val="28"/>
        </w:rPr>
        <w:t>3</w:t>
      </w:r>
      <w:r w:rsidR="00760930" w:rsidRPr="00BA321C">
        <w:rPr>
          <w:rFonts w:ascii="Times New Roman" w:hAnsi="Times New Roman"/>
          <w:sz w:val="28"/>
          <w:szCs w:val="28"/>
        </w:rPr>
        <w:t>.1</w:t>
      </w:r>
      <w:r w:rsidRPr="00BA321C">
        <w:rPr>
          <w:rFonts w:ascii="Times New Roman" w:hAnsi="Times New Roman"/>
          <w:sz w:val="28"/>
          <w:szCs w:val="28"/>
        </w:rPr>
        <w:t xml:space="preserve">.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p>
    <w:p w:rsidR="008578A8" w:rsidRPr="00BA321C" w:rsidRDefault="008578A8"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Таблица 2.</w:t>
      </w:r>
      <w:r w:rsidR="00090552" w:rsidRPr="00BA321C">
        <w:rPr>
          <w:rFonts w:ascii="Times New Roman" w:hAnsi="Times New Roman"/>
          <w:sz w:val="28"/>
          <w:szCs w:val="28"/>
        </w:rPr>
        <w:t>3</w:t>
      </w:r>
      <w:r w:rsidR="000806F2" w:rsidRPr="00BA321C">
        <w:rPr>
          <w:rFonts w:ascii="Times New Roman" w:hAnsi="Times New Roman"/>
          <w:sz w:val="28"/>
          <w:szCs w:val="28"/>
        </w:rPr>
        <w:t>.1</w:t>
      </w:r>
      <w:r w:rsidRPr="00BA321C">
        <w:rPr>
          <w:rFonts w:ascii="Times New Roman" w:hAnsi="Times New Roman"/>
          <w:sz w:val="28"/>
          <w:szCs w:val="28"/>
        </w:rPr>
        <w:t xml:space="preserve"> - Региональная структура населения городов </w:t>
      </w:r>
      <w:r w:rsidR="007946A8" w:rsidRPr="00BA321C">
        <w:rPr>
          <w:rFonts w:ascii="Times New Roman" w:hAnsi="Times New Roman"/>
          <w:sz w:val="28"/>
          <w:szCs w:val="28"/>
        </w:rPr>
        <w:t>ПФО</w:t>
      </w:r>
      <w:r w:rsidRPr="00BA321C">
        <w:rPr>
          <w:rFonts w:ascii="Times New Roman" w:hAnsi="Times New Roman"/>
          <w:sz w:val="28"/>
          <w:szCs w:val="28"/>
        </w:rPr>
        <w:t xml:space="preserve"> (по возрастанию) (%)</w:t>
      </w:r>
    </w:p>
    <w:tbl>
      <w:tblPr>
        <w:tblW w:w="9640" w:type="dxa"/>
        <w:tblInd w:w="-10" w:type="dxa"/>
        <w:tblLook w:val="04A0" w:firstRow="1" w:lastRow="0" w:firstColumn="1" w:lastColumn="0" w:noHBand="0" w:noVBand="1"/>
      </w:tblPr>
      <w:tblGrid>
        <w:gridCol w:w="1418"/>
        <w:gridCol w:w="4536"/>
        <w:gridCol w:w="1920"/>
        <w:gridCol w:w="1766"/>
      </w:tblGrid>
      <w:tr w:rsidR="00E53C41" w:rsidRPr="00BA321C" w:rsidTr="002C7645">
        <w:trPr>
          <w:trHeight w:val="330"/>
        </w:trPr>
        <w:tc>
          <w:tcPr>
            <w:tcW w:w="1418" w:type="dxa"/>
            <w:vMerge w:val="restart"/>
            <w:tcBorders>
              <w:top w:val="single" w:sz="8" w:space="0" w:color="auto"/>
              <w:left w:val="single" w:sz="8" w:space="0" w:color="auto"/>
              <w:right w:val="single" w:sz="8" w:space="0" w:color="auto"/>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w:t>
            </w:r>
          </w:p>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 </w:t>
            </w:r>
          </w:p>
        </w:tc>
        <w:tc>
          <w:tcPr>
            <w:tcW w:w="4536" w:type="dxa"/>
            <w:vMerge w:val="restart"/>
            <w:tcBorders>
              <w:top w:val="single" w:sz="8" w:space="0" w:color="auto"/>
              <w:left w:val="nil"/>
              <w:right w:val="single" w:sz="8" w:space="0" w:color="auto"/>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Регион</w:t>
            </w:r>
          </w:p>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p>
        </w:tc>
        <w:tc>
          <w:tcPr>
            <w:tcW w:w="3686" w:type="dxa"/>
            <w:gridSpan w:val="2"/>
            <w:tcBorders>
              <w:top w:val="single" w:sz="8" w:space="0" w:color="auto"/>
              <w:left w:val="nil"/>
              <w:bottom w:val="single" w:sz="8" w:space="0" w:color="auto"/>
              <w:right w:val="single" w:sz="8" w:space="0" w:color="000000"/>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Доля, в %</w:t>
            </w:r>
          </w:p>
        </w:tc>
      </w:tr>
      <w:tr w:rsidR="00E53C41" w:rsidRPr="00BA321C" w:rsidTr="002C7645">
        <w:trPr>
          <w:trHeight w:val="330"/>
        </w:trPr>
        <w:tc>
          <w:tcPr>
            <w:tcW w:w="1418" w:type="dxa"/>
            <w:vMerge/>
            <w:tcBorders>
              <w:left w:val="single" w:sz="8" w:space="0" w:color="auto"/>
              <w:bottom w:val="single" w:sz="8" w:space="0" w:color="auto"/>
              <w:right w:val="single" w:sz="8" w:space="0" w:color="auto"/>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p>
        </w:tc>
        <w:tc>
          <w:tcPr>
            <w:tcW w:w="4536" w:type="dxa"/>
            <w:vMerge/>
            <w:tcBorders>
              <w:left w:val="nil"/>
              <w:bottom w:val="single" w:sz="8" w:space="0" w:color="auto"/>
              <w:right w:val="single" w:sz="8" w:space="0" w:color="auto"/>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p>
        </w:tc>
        <w:tc>
          <w:tcPr>
            <w:tcW w:w="1920" w:type="dxa"/>
            <w:tcBorders>
              <w:top w:val="nil"/>
              <w:left w:val="nil"/>
              <w:bottom w:val="single" w:sz="8" w:space="0" w:color="auto"/>
              <w:right w:val="single" w:sz="8" w:space="0" w:color="auto"/>
            </w:tcBorders>
            <w:shd w:val="clear" w:color="auto" w:fill="auto"/>
            <w:vAlign w:val="center"/>
            <w:hideMark/>
          </w:tcPr>
          <w:p w:rsidR="00C7304D" w:rsidRPr="00BA321C" w:rsidRDefault="00C7304D"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2010</w:t>
            </w:r>
          </w:p>
        </w:tc>
        <w:tc>
          <w:tcPr>
            <w:tcW w:w="1766" w:type="dxa"/>
            <w:tcBorders>
              <w:top w:val="nil"/>
              <w:left w:val="nil"/>
              <w:bottom w:val="single" w:sz="8" w:space="0" w:color="auto"/>
              <w:right w:val="single" w:sz="8" w:space="0" w:color="auto"/>
            </w:tcBorders>
            <w:shd w:val="clear" w:color="auto" w:fill="auto"/>
            <w:vAlign w:val="center"/>
            <w:hideMark/>
          </w:tcPr>
          <w:p w:rsidR="00C7304D" w:rsidRPr="00BA321C" w:rsidRDefault="00DE0652"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1897</w:t>
            </w:r>
            <w:r w:rsidR="00C7304D" w:rsidRPr="00BA321C">
              <w:rPr>
                <w:rFonts w:ascii="Times New Roman" w:eastAsia="Times New Roman" w:hAnsi="Times New Roman"/>
                <w:sz w:val="24"/>
                <w:szCs w:val="24"/>
                <w:lang w:eastAsia="ru-RU"/>
              </w:rPr>
              <w:t xml:space="preserve"> (для справки) [</w:t>
            </w:r>
            <w:r w:rsidR="004435C3" w:rsidRPr="00BA321C">
              <w:rPr>
                <w:rFonts w:ascii="Times New Roman" w:eastAsia="Times New Roman" w:hAnsi="Times New Roman"/>
                <w:sz w:val="24"/>
                <w:szCs w:val="24"/>
                <w:lang w:eastAsia="ru-RU"/>
              </w:rPr>
              <w:t>43</w:t>
            </w:r>
            <w:r w:rsidR="00C7304D" w:rsidRPr="00BA321C">
              <w:rPr>
                <w:rFonts w:ascii="Times New Roman" w:eastAsia="Times New Roman" w:hAnsi="Times New Roman"/>
                <w:sz w:val="24"/>
                <w:szCs w:val="24"/>
                <w:lang w:eastAsia="ru-RU"/>
              </w:rPr>
              <w:t>]</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Татарстан</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13,6</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12,9</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Самарская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12,6</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9,9</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Башкортостан</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12,4</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3,8</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Нижегородская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12,06</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11,7</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Пермская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9,5</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8,5</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Саратовская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8,6</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19,8</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Оренбургская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6,2</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8,9</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8</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Удмуртская республика</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4,3</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Пензенская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4,2</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7,6</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10</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Кировская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4,1</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4,5</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11</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Ульяновская область</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4,1</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3,6</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Чувашская республика</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3,8</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1,6</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13</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Мордовия</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2,06</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2,4</w:t>
            </w:r>
          </w:p>
        </w:tc>
      </w:tr>
      <w:tr w:rsidR="00E53C41" w:rsidRPr="00BA321C" w:rsidTr="00EB0C89">
        <w:trPr>
          <w:trHeight w:val="330"/>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14</w:t>
            </w:r>
          </w:p>
        </w:tc>
        <w:tc>
          <w:tcPr>
            <w:tcW w:w="453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Марий Эл</w:t>
            </w:r>
          </w:p>
        </w:tc>
        <w:tc>
          <w:tcPr>
            <w:tcW w:w="1920"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1,7</w:t>
            </w:r>
          </w:p>
        </w:tc>
        <w:tc>
          <w:tcPr>
            <w:tcW w:w="1766" w:type="dxa"/>
            <w:tcBorders>
              <w:top w:val="nil"/>
              <w:left w:val="nil"/>
              <w:bottom w:val="single" w:sz="8" w:space="0" w:color="auto"/>
              <w:right w:val="single" w:sz="8" w:space="0" w:color="auto"/>
            </w:tcBorders>
            <w:shd w:val="clear" w:color="auto" w:fill="auto"/>
            <w:vAlign w:val="center"/>
            <w:hideMark/>
          </w:tcPr>
          <w:p w:rsidR="008578A8" w:rsidRPr="00BA321C" w:rsidRDefault="008578A8"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0,4</w:t>
            </w:r>
          </w:p>
        </w:tc>
      </w:tr>
    </w:tbl>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Представленные данные о текущем состоянии структуры населения регионов ПФО, а также тенденциях ее развития за последние столетие демонстрируют заметное снижение доли городского населения в таких регионах, как Саратовская область, Оренбургской области, Пензенской области. Связано это с</w:t>
      </w:r>
      <w:r w:rsidR="00C7304D" w:rsidRPr="00BA321C">
        <w:rPr>
          <w:rFonts w:ascii="Times New Roman" w:hAnsi="Times New Roman"/>
          <w:sz w:val="28"/>
          <w:szCs w:val="28"/>
        </w:rPr>
        <w:t xml:space="preserve"> </w:t>
      </w:r>
      <w:r w:rsidRPr="00BA321C">
        <w:rPr>
          <w:rFonts w:ascii="Times New Roman" w:hAnsi="Times New Roman"/>
          <w:sz w:val="28"/>
          <w:szCs w:val="28"/>
        </w:rPr>
        <w:t>целом рядом причин.</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Первая была связана, как уже говорилось выше, с развитием в указанных регионах пищевой промышленности, первичной переработки сельскохозяйственных продуктов. Последующий период индустриализации 20-30 годов затронул из крупных городов ПФО, главным образом Нижний Новгород (литейный. Прокатный, автомобильный заводы) и Самару (автомобильный завод). При этом серьезным конкурентом г.Саратов стал г.Волгоград (бывший Царицын). В указанном городе не только по экономическим, но и по политическим причинам были спроектированы с 1929 по 1932 годы и запущены тракторно-танковый, автомобильный, литейный заводы.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А что же строилось в г.Саратов? В 1934-35 годах в Саратове вводятся в действие первая и вторая очереди крекинг-завода, а позже ряд других. В 1934 году решением </w:t>
      </w:r>
      <w:r w:rsidRPr="00BA321C">
        <w:rPr>
          <w:rFonts w:ascii="Times New Roman" w:hAnsi="Times New Roman"/>
          <w:sz w:val="28"/>
          <w:szCs w:val="28"/>
          <w:lang w:val="en-US"/>
        </w:rPr>
        <w:t>XVII</w:t>
      </w:r>
      <w:r w:rsidRPr="00BA321C">
        <w:rPr>
          <w:rFonts w:ascii="Times New Roman" w:hAnsi="Times New Roman"/>
          <w:sz w:val="28"/>
          <w:szCs w:val="28"/>
        </w:rPr>
        <w:t xml:space="preserve"> съезда ВКП(б) в качестве приоритетных в промышленно-индустриальном развитии в нынешних границах ПФО были определены опорные базы индустриализации в Республике Башкирия и на Урале, в том числе в Пермской (в то время Молотовской) области. Было также принято решение о приближении промышленности к источникам сырья, что для целого ряда регионов ПФО было очень актуальным (Пермская область, Республика Татарстан, Башкортостан, Самарская и Оренбургская и по добыче и переработке газа Саратовская области). Широкое промышленное строительство было намечено в Республике Татарстан и в целом на Средней Волге (включая г.Ульяновск и г.Самара (Куйбышев). В Республике Татарстан формировались и получали развитие нефтяная, химическая промышленность, машиностроение, в Саратовской области – нефтяная, химическая, пищевая, сланцевая промышленность, в Самарской (Куйбышевской) области -  </w:t>
      </w:r>
      <w:r w:rsidRPr="00BA321C">
        <w:rPr>
          <w:rFonts w:ascii="Times New Roman" w:hAnsi="Times New Roman"/>
          <w:sz w:val="28"/>
          <w:szCs w:val="28"/>
        </w:rPr>
        <w:lastRenderedPageBreak/>
        <w:t>нефтеперерабатывающая, химическая, сланцевая промышленность, энергоемкие производства.</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Быстро развивалась нефтяная отрасль в рамках Урало-Поволжского нефтяного района</w:t>
      </w:r>
      <w:r w:rsidR="00BC36BF" w:rsidRPr="00BA321C">
        <w:rPr>
          <w:rFonts w:ascii="Times New Roman" w:hAnsi="Times New Roman"/>
          <w:sz w:val="28"/>
          <w:szCs w:val="28"/>
        </w:rPr>
        <w:t xml:space="preserve">. </w:t>
      </w:r>
      <w:r w:rsidRPr="00BA321C">
        <w:rPr>
          <w:rFonts w:ascii="Times New Roman" w:hAnsi="Times New Roman"/>
          <w:sz w:val="28"/>
          <w:szCs w:val="28"/>
        </w:rPr>
        <w:t>Лидерами опережающего развития среди регионов ПФО были в это довоенное время Республика Башкортостан и Оренбургская (Чкаловская) область.</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Еще два фактора вызывали отклонения от «естественной» структуры городского расселения в ПФО в 1930-1950-е годы: 1) организация в таких регионах, как Пермская (Молотовская) и Самарская (Куйбышевская) области крупных лагерей ГУЛАГа «Молотовлаг» и «Безымянлаг» (последний, созданный в январе 1941 года для строительства заводов самолето-моторостроения насчитывал 25 лагерных пунктов и приблизительно 76,7 тыс.человек); 2) эвакуация промышленных предприятий в первые годы Великой отечественной войны.</w:t>
      </w:r>
      <w:r w:rsidRPr="00BA321C">
        <w:rPr>
          <w:rStyle w:val="ac"/>
          <w:rFonts w:ascii="Times New Roman" w:hAnsi="Times New Roman"/>
          <w:sz w:val="28"/>
          <w:szCs w:val="28"/>
        </w:rPr>
        <w:footnoteReference w:id="2"/>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Как отмечается в литературе, вместе с эвакуированными заводами было «перемещено» приблизительно 20% их работников. Всего из европейской части СССР в тыловые районы РСФСР было эвакуировано 1215 предприятий, «… в том числе в Поволжье (севернее Саратовской области) -226, на Урал – 667, в районы Западной Сибири – 244, Восточной Сибири – 78».</w:t>
      </w:r>
      <w:r w:rsidRPr="00BA321C">
        <w:rPr>
          <w:rStyle w:val="ac"/>
          <w:rFonts w:ascii="Times New Roman" w:hAnsi="Times New Roman"/>
          <w:sz w:val="28"/>
          <w:szCs w:val="28"/>
        </w:rPr>
        <w:footnoteReference w:id="3"/>
      </w:r>
      <w:r w:rsidRPr="00BA321C">
        <w:rPr>
          <w:rFonts w:ascii="Times New Roman" w:hAnsi="Times New Roman"/>
          <w:sz w:val="28"/>
          <w:szCs w:val="28"/>
        </w:rPr>
        <w:t xml:space="preserve"> При эвакуации Коломенского паровозостроительного завода только в г.Киров (из трех намеченных городов) «…до середины февраля был отправлен 2491 вагон с оборудованием, более 10 тысяч рабочих и их семей».</w:t>
      </w:r>
      <w:r w:rsidRPr="00BA321C">
        <w:rPr>
          <w:rStyle w:val="ac"/>
          <w:rFonts w:ascii="Times New Roman" w:hAnsi="Times New Roman"/>
          <w:sz w:val="28"/>
          <w:szCs w:val="28"/>
        </w:rPr>
        <w:footnoteReference w:id="4"/>
      </w:r>
      <w:r w:rsidRPr="00BA321C">
        <w:rPr>
          <w:rFonts w:ascii="Times New Roman" w:hAnsi="Times New Roman"/>
          <w:sz w:val="28"/>
          <w:szCs w:val="28"/>
        </w:rPr>
        <w:t xml:space="preserve"> Новые станкостроительные заводы в результате эвакуации возникли в городах Белорецк, Стерлитамак (Республика Башкортостан), Саратове, Оренбурге (Чкалов), Соль-Илецке, Кизеле и др.городах ПФО. В г.Киров развернули выпуск оборонной продукции два авиационных завода, один инструментальный, кабельный завод, как уже выше отмечалось, Коломенский </w:t>
      </w:r>
      <w:r w:rsidRPr="00BA321C">
        <w:rPr>
          <w:rFonts w:ascii="Times New Roman" w:hAnsi="Times New Roman"/>
          <w:sz w:val="28"/>
          <w:szCs w:val="28"/>
        </w:rPr>
        <w:lastRenderedPageBreak/>
        <w:t>машиностроительный завод, один завод тяжелого машиностроения, шинный, автокузовной и ряд других.</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Самарскую (Куйбышевскую) область «… было перебазировано (включая территорию нынешней Ульяновской области - прим.авторов) полностью или частично оборудование 123 промышленных предприятий, в том числе 80 крупных фабрик и заводов… В Молотовской (Пермской- прим.авторов) области разместились 22 завода химической промышленности… В Чкаловскую (Оренбургскую – прим.авторов) область было эвакуировано 60 предприятий, в том числе заводы «Фрезер», «Профинтерн», станкостроительный завод «Коммунар», Николаевский инструментальный завод, Клинцевская швейная фабрика и металлургический завод имени Петровского и коксохимический завод из Днепропертровска… В Чувашской АССР… на базе эвакуированного оборудования 5 хлопчатобумажных фабрик… были созданы фабрики в Чебоксарах, Сундыре, Цивильске… На базе Полтавской чулочной фабрики было налажено чулочное производство».</w:t>
      </w:r>
      <w:r w:rsidRPr="00BA321C">
        <w:rPr>
          <w:rStyle w:val="ac"/>
          <w:rFonts w:ascii="Times New Roman" w:hAnsi="Times New Roman"/>
          <w:sz w:val="28"/>
          <w:szCs w:val="28"/>
        </w:rPr>
        <w:footnoteReference w:id="5"/>
      </w:r>
      <w:r w:rsidRPr="00BA321C">
        <w:rPr>
          <w:rFonts w:ascii="Times New Roman" w:hAnsi="Times New Roman"/>
          <w:sz w:val="28"/>
          <w:szCs w:val="28"/>
        </w:rPr>
        <w:t xml:space="preserve"> Также 13 предприятий было эвакуировано в Нижегородскую (Горьковскую) область, 20 – в Кировскую, 27 – в Республику Марий Эл, 17 – в Республику Мордовия, 20 – в Чувашскую республику.</w:t>
      </w:r>
      <w:r w:rsidRPr="00BA321C">
        <w:rPr>
          <w:rStyle w:val="ac"/>
          <w:rFonts w:ascii="Times New Roman" w:hAnsi="Times New Roman"/>
          <w:sz w:val="28"/>
          <w:szCs w:val="28"/>
        </w:rPr>
        <w:footnoteReference w:id="6"/>
      </w:r>
      <w:r w:rsidRPr="00BA321C">
        <w:rPr>
          <w:rFonts w:ascii="Times New Roman" w:hAnsi="Times New Roman"/>
          <w:sz w:val="28"/>
          <w:szCs w:val="28"/>
        </w:rPr>
        <w:t xml:space="preserve"> Большое количество машиностроительных заводов и предприятий других отраслей промышленности были эвакуированы в Республику Татарстан.</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Как свидетельствует тот же цитируемый нами источник, в 1945 году по сравнению с 1940 годом промышленность Пензенской области увеличила объемы производимой продукции на 14%, а Республики Татарстан - на 219% (при одновременном удвоении основных производственных фондов предприятий на фоне сокращения в СССР), в целом в Поволжье – на 340%. В свою очередь, по сравнению с 1940 годом в 1945 году производство промышленной продукции возросло в Республике Марий Эл приблизительно на 230%, в Чувашской республике -  на 160%, в Республике Мордовия - на </w:t>
      </w:r>
      <w:r w:rsidRPr="00BA321C">
        <w:rPr>
          <w:rFonts w:ascii="Times New Roman" w:hAnsi="Times New Roman"/>
          <w:sz w:val="28"/>
          <w:szCs w:val="28"/>
        </w:rPr>
        <w:lastRenderedPageBreak/>
        <w:t>120%, в Кировской области – на 200%.</w:t>
      </w:r>
      <w:r w:rsidRPr="00BA321C">
        <w:rPr>
          <w:rStyle w:val="ac"/>
          <w:rFonts w:ascii="Times New Roman" w:hAnsi="Times New Roman"/>
          <w:sz w:val="28"/>
          <w:szCs w:val="28"/>
        </w:rPr>
        <w:footnoteReference w:id="7"/>
      </w:r>
      <w:r w:rsidRPr="00BA321C">
        <w:rPr>
          <w:rFonts w:ascii="Times New Roman" w:hAnsi="Times New Roman"/>
          <w:sz w:val="28"/>
          <w:szCs w:val="28"/>
        </w:rPr>
        <w:t xml:space="preserve"> В Самаре (Куйбышеве) получили развитие промышленное изготовление кабеля, шарико-подшипников, в г.Энгельс – вагоностроение, в г.Сызрань – производство локомобилей и нефтепереработка, в г.Ульяновск – автомобилей, в гг. Кинель, Елабуга, Мамадыш – текстиля.</w:t>
      </w:r>
      <w:r w:rsidRPr="00BA321C">
        <w:rPr>
          <w:rStyle w:val="ac"/>
          <w:rFonts w:ascii="Times New Roman" w:hAnsi="Times New Roman"/>
          <w:sz w:val="28"/>
          <w:szCs w:val="28"/>
        </w:rPr>
        <w:footnoteReference w:id="8"/>
      </w:r>
      <w:r w:rsidRPr="00BA321C">
        <w:rPr>
          <w:rFonts w:ascii="Times New Roman" w:hAnsi="Times New Roman"/>
          <w:sz w:val="28"/>
          <w:szCs w:val="28"/>
        </w:rPr>
        <w:t xml:space="preserve"> В 1942 году также образуются «Пермьнефтекомбинат», «Куйбышевнефтекомбинат», «Башнефтекомбинат».</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Заметим при этом, что на 1 января 1941 года численность населения Российской Федерации равнялась 111,7 млн.человек, из которых 39,2 млн.человек (как результат ускоренного промышленного развития) проживали в городах и городских поселениях (что соответствует 35,1%). Остальные 64,9%  представляли собой сельское население. В соответствие с переписью эвакуированного населения на 1 февраля 1942 года «…в 40 областях, краях и автономных республиках РСФСР было размещено 5914 тыс.человек эвакуированного населения, в том числе в Чкаловской (Оренбургской –прим.авторов) области – 242 тыс.человек, в Куйбышевской (Самарской – прим.авторов) – свыше 200 тыс.человек, в Кировской области – 227 тыс.человек, Татарской АССР – 266 тыс.человек. В 1942 году … разместилось… эвакуированных, в Горьковской (Нижегородской – прим.авторов) – 176,8 тыс.человек, Пензенской области – 110 тыс.человек, Мордовской АССР – 68,8 тыс.человек, в Чувашской АССР – 70,4 тыс.человек».</w:t>
      </w:r>
      <w:r w:rsidRPr="00BA321C">
        <w:rPr>
          <w:rStyle w:val="ac"/>
          <w:rFonts w:ascii="Times New Roman" w:hAnsi="Times New Roman"/>
          <w:sz w:val="28"/>
          <w:szCs w:val="28"/>
        </w:rPr>
        <w:footnoteReference w:id="9"/>
      </w:r>
      <w:r w:rsidRPr="00BA321C">
        <w:rPr>
          <w:rFonts w:ascii="Times New Roman" w:hAnsi="Times New Roman"/>
          <w:sz w:val="28"/>
          <w:szCs w:val="28"/>
        </w:rPr>
        <w:t xml:space="preserve"> То есть, всего по указанным регионам эвакуированное население по состоянию на 1942 год равнялось 1361 тыс.человек (или 23% всех эвакуированных, и это без учета Пермской (Молотовской) области, Республик Башкортостан, Удмуртия и Марий Эл).</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 1960-1970-е годы ускоренное развитие ряда регионов ПФО продолжалось. Соответственно, увеличивалась их доля в общей численности городского населения округа. Это были регионы, специализирующиеся на </w:t>
      </w:r>
      <w:r w:rsidRPr="00BA321C">
        <w:rPr>
          <w:rFonts w:ascii="Times New Roman" w:hAnsi="Times New Roman"/>
          <w:sz w:val="28"/>
          <w:szCs w:val="28"/>
        </w:rPr>
        <w:lastRenderedPageBreak/>
        <w:t>энергоемких нефтедобыче, нефтепереработке, нефтехимии, электроэнергетике (в частности, на строительстве гидроэлектростанций волжского каскада), в машиностроении (главным образом, военном).</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Из приведенной нами выше Таблицы 2.</w:t>
      </w:r>
      <w:r w:rsidR="00090552" w:rsidRPr="00BA321C">
        <w:rPr>
          <w:rFonts w:ascii="Times New Roman" w:hAnsi="Times New Roman"/>
          <w:sz w:val="28"/>
          <w:szCs w:val="28"/>
        </w:rPr>
        <w:t>3</w:t>
      </w:r>
      <w:r w:rsidR="00760930" w:rsidRPr="00BA321C">
        <w:rPr>
          <w:rFonts w:ascii="Times New Roman" w:hAnsi="Times New Roman"/>
          <w:sz w:val="28"/>
          <w:szCs w:val="28"/>
        </w:rPr>
        <w:t>.1</w:t>
      </w:r>
      <w:r w:rsidRPr="00BA321C">
        <w:rPr>
          <w:rFonts w:ascii="Times New Roman" w:hAnsi="Times New Roman"/>
          <w:sz w:val="28"/>
          <w:szCs w:val="28"/>
        </w:rPr>
        <w:t xml:space="preserve"> хорошо видно, что в 1989 году наибольшая доля городского населения ПФО в результате описанных нами изменений индустриального характера имела место в Нижегородской области – 13,2%. Кроме населения городов, которых в 1989 году было уже 28 против 16 в </w:t>
      </w:r>
      <w:r w:rsidR="00DE0652" w:rsidRPr="00BA321C">
        <w:rPr>
          <w:rFonts w:ascii="Times New Roman" w:hAnsi="Times New Roman"/>
          <w:sz w:val="28"/>
          <w:szCs w:val="28"/>
        </w:rPr>
        <w:t>1897</w:t>
      </w:r>
      <w:r w:rsidRPr="00BA321C">
        <w:rPr>
          <w:rFonts w:ascii="Times New Roman" w:hAnsi="Times New Roman"/>
          <w:sz w:val="28"/>
          <w:szCs w:val="28"/>
        </w:rPr>
        <w:t xml:space="preserve"> году, в Нижегородской области имелось 66 поселков городского типа, где проживало еще 318 тыс.человек городского населения. Всего городское население Нижегородской области в 1989 году составляло 2848,8 тыс.человек. При этом удельный вес городского населения в общей численности постоянного населения области равнялся 77,4%.</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По 12,5% в структуре городского населения округа в 1989 году имели Республика Татарстан и Самарская область. Последняя имела заметно более высокую динамику роста численности городского населения с </w:t>
      </w:r>
      <w:r w:rsidR="00DE0652" w:rsidRPr="00BA321C">
        <w:rPr>
          <w:rFonts w:ascii="Times New Roman" w:hAnsi="Times New Roman"/>
          <w:sz w:val="28"/>
          <w:szCs w:val="28"/>
        </w:rPr>
        <w:t>1897</w:t>
      </w:r>
      <w:r w:rsidRPr="00BA321C">
        <w:rPr>
          <w:rFonts w:ascii="Times New Roman" w:hAnsi="Times New Roman"/>
          <w:sz w:val="28"/>
          <w:szCs w:val="28"/>
        </w:rPr>
        <w:t xml:space="preserve"> года. Кроме населения городов, которых в 1989 году было 11 против 5 в </w:t>
      </w:r>
      <w:r w:rsidR="00DE0652" w:rsidRPr="00BA321C">
        <w:rPr>
          <w:rFonts w:ascii="Times New Roman" w:hAnsi="Times New Roman"/>
          <w:sz w:val="28"/>
          <w:szCs w:val="28"/>
        </w:rPr>
        <w:t>1897</w:t>
      </w:r>
      <w:r w:rsidRPr="00BA321C">
        <w:rPr>
          <w:rFonts w:ascii="Times New Roman" w:hAnsi="Times New Roman"/>
          <w:sz w:val="28"/>
          <w:szCs w:val="28"/>
        </w:rPr>
        <w:t xml:space="preserve"> году, в Самарской области имелось 23 поселка городского типа, где проживало еще 168,4 тыс.человек городского населения. Всего городское население Самарской области в 1989 году составляло 2647,6 тыс.человек. При этом доля городского населения в общей численности постоянного населения области равнялась 80,8%.</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Республика Татарстан в период с </w:t>
      </w:r>
      <w:r w:rsidR="00DE0652" w:rsidRPr="00BA321C">
        <w:rPr>
          <w:rFonts w:ascii="Times New Roman" w:hAnsi="Times New Roman"/>
          <w:sz w:val="28"/>
          <w:szCs w:val="28"/>
        </w:rPr>
        <w:t>1897</w:t>
      </w:r>
      <w:r w:rsidRPr="00BA321C">
        <w:rPr>
          <w:rFonts w:ascii="Times New Roman" w:hAnsi="Times New Roman"/>
          <w:sz w:val="28"/>
          <w:szCs w:val="28"/>
        </w:rPr>
        <w:t xml:space="preserve"> по 1989 годы несколько снизила свой удельный вес в общей численности городского населения ПФО с 12,9% до 12,5%. Тем не менее, у республики имелся большой потенциал дальнейшего демографического роста. Кроме населения городов, которых в 1989 году насчитывалось 20 против 12 в </w:t>
      </w:r>
      <w:r w:rsidR="00DE0652" w:rsidRPr="00BA321C">
        <w:rPr>
          <w:rFonts w:ascii="Times New Roman" w:hAnsi="Times New Roman"/>
          <w:sz w:val="28"/>
          <w:szCs w:val="28"/>
        </w:rPr>
        <w:t>1897</w:t>
      </w:r>
      <w:r w:rsidRPr="00BA321C">
        <w:rPr>
          <w:rFonts w:ascii="Times New Roman" w:hAnsi="Times New Roman"/>
          <w:sz w:val="28"/>
          <w:szCs w:val="28"/>
        </w:rPr>
        <w:t xml:space="preserve"> году, в Республике Татарстан имелось 24 поселка городского типа, где проживало еще 163,8 тыс.человек городского населения. Всего городское население Республики Татарстан составляло 2654,8 тыс.человек. При этом удельный вес городского населения в общей численности постоянного населения республики равнялся 72,9%.</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При сравнении этих трех ведущих регионов Приволжского федерального округа два последних (Самарская область, Республика Татарстан) выгодно отличились приблизительно в 1,9 раза меньшим, чем в Нижегородской области количеством городского населения, проживающего в поселках городского типа и почти в 3 раза меньше количеством самих таких поселков. В 2010 году в соответствии с результатами переписи населения в Нижегородской области число поселков городского типа сократилось до 59 при численности проживающего в них городского населения в 258,2 тыс.человек. В Самарской области в 2010 году значения тех же показателей, соответственно, составили 16 поселков, 142,86 тыс.человек, в Республике Татарстан – 20 поселков, 189,5 тыс.человек.</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Как видим, между 1989 годом и 2010 годом количество поселков городского типа в Самарской области, Республике Татарстан сокращалось быстрее, чем в Нижегородской области при параллельном увеличении доли городского населения в общей численности постоянного населения  в Республике Татарстан ( с 72,9% до 75,36%) и стабильном уровне значений этого показателя (80,8% в 1989 году и 80,3% в 2010 году) в Самарской области. В Самарской области произошло, вместе с тем,  практически такое же сокращение численности городского населения, проживающего в поселках городского типа, что и в Нижегородской области. Что же касается Республики Татарстан, если не относить приведенное выше увеличение городского населения поселков городского типа республики в 2010 году по сравнению с 1989 годом, то тогда будет справедлив вывод о некотором ухудшении в этой части одного из важнейших абсолютных показателей городского расселения в регионе.</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Дело в том, что численность городского населения в поселках городского типа, как показывает практика, является демографически менее устойчивой, чем численность городского населения в городах (особенно в кризисные периоды социально-экономического развития). Кроме того, занятость в городах, как правило, является заметно более эффективной и в </w:t>
      </w:r>
      <w:r w:rsidRPr="00BA321C">
        <w:rPr>
          <w:rFonts w:ascii="Times New Roman" w:hAnsi="Times New Roman"/>
          <w:sz w:val="28"/>
          <w:szCs w:val="28"/>
        </w:rPr>
        <w:lastRenderedPageBreak/>
        <w:t>смысле уровня заработной платы работников и в смысле более высокой производительности в производстве товаров и услуг. Для Нижегородской области это скорее «пассив», чем «актив» при разработке сценария эффективного динамического роста в будущем. Хотя в период с 1989 по 2010 годы население городов сокращалось в Нижегородской области медленнее (-10,5%), чем городское население поселков городского типа (-18,9%). Важным позитивным демографическим изменением при этом являлось некоторое увеличение доли городского населения в постоянном населении Нижегородской области с 77,4% до 78,9%.</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Заметим, что приведенные в Приложении 1 поселки городского типа Нижегородской области и Республики Татарстан, в большинстве расположены за пределами «столичных» городских агломераций. В Самарской области по меньшей мере 6 из 16 поселков городского типа или 35,8% численности проживающего в них городского населения входя в агломерацию г.Самары. Последнее является несомненным «активом» при расстановке приоритетов территориальных зон будущего развития производительных сил ПФО.</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Оценивая имеющиеся «активы» и «пассивы» трех ведущих регионов необходимо заметить, что все они демонстрируют значительную экономическую активность населения. К примеру, в Республике Татарстан данный показатель достигал в 2010г. 71,0%,в Нижегородской области – 72,6%, а в Самарской области – 70,9%.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К активам рассматриваемых регионов необходимо также отнести и то, что все они представлены городами различных размерных групп, что определяет высокий уровень потенциала мобильности трудовых ресурсов. Структура городского населения в соответствии с типом городского расселения представлена </w:t>
      </w:r>
      <w:r w:rsidR="000806F2" w:rsidRPr="00BA321C">
        <w:rPr>
          <w:rFonts w:ascii="Times New Roman" w:hAnsi="Times New Roman"/>
          <w:sz w:val="28"/>
          <w:szCs w:val="28"/>
        </w:rPr>
        <w:t>на рисунк</w:t>
      </w:r>
      <w:r w:rsidR="00760930" w:rsidRPr="00BA321C">
        <w:rPr>
          <w:rFonts w:ascii="Times New Roman" w:hAnsi="Times New Roman"/>
          <w:sz w:val="28"/>
          <w:szCs w:val="28"/>
        </w:rPr>
        <w:t>е 2.4.1</w:t>
      </w:r>
      <w:r w:rsidRPr="00BA321C">
        <w:rPr>
          <w:rFonts w:ascii="Times New Roman" w:hAnsi="Times New Roman"/>
          <w:sz w:val="28"/>
          <w:szCs w:val="28"/>
        </w:rPr>
        <w:t xml:space="preserve">. Именно сложившийся в рассматриваемых регионах тип городского расселения является, на наш взгляд, наиболее перспективным с точки зрения промышленно-индустриального развития производительных сил. Связано это в первую </w:t>
      </w:r>
      <w:r w:rsidRPr="00BA321C">
        <w:rPr>
          <w:rFonts w:ascii="Times New Roman" w:hAnsi="Times New Roman"/>
          <w:sz w:val="28"/>
          <w:szCs w:val="28"/>
        </w:rPr>
        <w:lastRenderedPageBreak/>
        <w:t>очередь с устойчивостью развития всех возможных групп городов, каждая из которых способна генерировать различные уровни развития производительных сил.</w:t>
      </w:r>
    </w:p>
    <w:tbl>
      <w:tblPr>
        <w:tblW w:w="0" w:type="auto"/>
        <w:tblLook w:val="04A0" w:firstRow="1" w:lastRow="0" w:firstColumn="1" w:lastColumn="0" w:noHBand="0" w:noVBand="1"/>
      </w:tblPr>
      <w:tblGrid>
        <w:gridCol w:w="4716"/>
        <w:gridCol w:w="4629"/>
      </w:tblGrid>
      <w:tr w:rsidR="00E53C41" w:rsidRPr="00BA321C" w:rsidTr="001878CF">
        <w:tc>
          <w:tcPr>
            <w:tcW w:w="4716" w:type="dxa"/>
            <w:shd w:val="clear" w:color="auto" w:fill="auto"/>
          </w:tcPr>
          <w:p w:rsidR="000806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78BF246D" wp14:editId="57E56095">
                  <wp:extent cx="2853055" cy="1895475"/>
                  <wp:effectExtent l="0" t="0" r="4445" b="9525"/>
                  <wp:docPr id="18"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629" w:type="dxa"/>
            <w:shd w:val="clear" w:color="auto" w:fill="auto"/>
          </w:tcPr>
          <w:p w:rsidR="000806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15B71F0E" wp14:editId="2D2F1748">
                  <wp:extent cx="2787015" cy="1857375"/>
                  <wp:effectExtent l="0" t="0" r="13335" b="9525"/>
                  <wp:docPr id="19"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E53C41" w:rsidRPr="00BA321C" w:rsidTr="001878CF">
        <w:tc>
          <w:tcPr>
            <w:tcW w:w="4716" w:type="dxa"/>
            <w:shd w:val="clear" w:color="auto" w:fill="auto"/>
          </w:tcPr>
          <w:p w:rsidR="000806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029CEBAB" wp14:editId="5909AFAC">
                  <wp:extent cx="2806700" cy="1771650"/>
                  <wp:effectExtent l="0" t="0" r="12700" b="0"/>
                  <wp:docPr id="20"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629" w:type="dxa"/>
            <w:shd w:val="clear" w:color="auto" w:fill="auto"/>
          </w:tcPr>
          <w:p w:rsidR="000806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63A54E4C" wp14:editId="57B9B145">
                  <wp:extent cx="2740025" cy="1743075"/>
                  <wp:effectExtent l="0" t="0" r="3175" b="9525"/>
                  <wp:docPr id="21"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rsidR="008578A8" w:rsidRPr="00BA321C" w:rsidRDefault="000806F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Рисунок</w:t>
      </w:r>
      <w:r w:rsidR="00760930" w:rsidRPr="00BA321C">
        <w:rPr>
          <w:rFonts w:ascii="Times New Roman" w:hAnsi="Times New Roman"/>
          <w:sz w:val="28"/>
          <w:szCs w:val="28"/>
        </w:rPr>
        <w:t xml:space="preserve"> 2.</w:t>
      </w:r>
      <w:r w:rsidR="00090552" w:rsidRPr="00BA321C">
        <w:rPr>
          <w:rFonts w:ascii="Times New Roman" w:hAnsi="Times New Roman"/>
          <w:sz w:val="28"/>
          <w:szCs w:val="28"/>
        </w:rPr>
        <w:t>3</w:t>
      </w:r>
      <w:r w:rsidR="00760930" w:rsidRPr="00BA321C">
        <w:rPr>
          <w:rFonts w:ascii="Times New Roman" w:hAnsi="Times New Roman"/>
          <w:sz w:val="28"/>
          <w:szCs w:val="28"/>
        </w:rPr>
        <w:t>.1</w:t>
      </w:r>
      <w:r w:rsidR="008578A8" w:rsidRPr="00BA321C">
        <w:rPr>
          <w:rFonts w:ascii="Times New Roman" w:hAnsi="Times New Roman"/>
          <w:sz w:val="28"/>
          <w:szCs w:val="28"/>
        </w:rPr>
        <w:t xml:space="preserve"> - </w:t>
      </w:r>
      <w:r w:rsidRPr="00BA321C">
        <w:rPr>
          <w:rFonts w:ascii="Times New Roman" w:hAnsi="Times New Roman"/>
          <w:sz w:val="28"/>
          <w:szCs w:val="28"/>
        </w:rPr>
        <w:t>Структура городского населения в соответствии с типом городского расселения</w:t>
      </w:r>
      <w:r w:rsidR="008578A8" w:rsidRPr="00BA321C">
        <w:rPr>
          <w:rFonts w:ascii="Times New Roman" w:hAnsi="Times New Roman"/>
          <w:sz w:val="28"/>
          <w:szCs w:val="28"/>
        </w:rPr>
        <w:t xml:space="preserve"> в 1989 и 2010 годах</w:t>
      </w:r>
      <w:r w:rsidRPr="00BA321C">
        <w:rPr>
          <w:rFonts w:ascii="Times New Roman" w:hAnsi="Times New Roman"/>
          <w:sz w:val="28"/>
          <w:szCs w:val="28"/>
        </w:rPr>
        <w:t xml:space="preserve"> (городское население в % от общего числа жителей (%))</w:t>
      </w:r>
      <w:r w:rsidR="005F59BD" w:rsidRPr="00BA321C">
        <w:rPr>
          <w:rFonts w:ascii="Times New Roman" w:hAnsi="Times New Roman"/>
          <w:sz w:val="28"/>
          <w:szCs w:val="28"/>
        </w:rPr>
        <w:t xml:space="preserve"> [43]</w:t>
      </w:r>
    </w:p>
    <w:p w:rsidR="008578A8" w:rsidRPr="00BA321C" w:rsidRDefault="008578A8" w:rsidP="00BA321C">
      <w:pPr>
        <w:shd w:val="clear" w:color="auto" w:fill="FFFFFF" w:themeFill="background1"/>
        <w:spacing w:after="0" w:line="360" w:lineRule="auto"/>
        <w:ind w:firstLine="567"/>
        <w:jc w:val="both"/>
        <w:rPr>
          <w:rFonts w:ascii="Times New Roman" w:hAnsi="Times New Roman"/>
          <w:sz w:val="28"/>
          <w:szCs w:val="28"/>
        </w:rPr>
      </w:pP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Таким образом, результаты проведенного исследования позволяют предположить, что на текущий и перспективный моменты времени наиболее приоритетными регионами ПФО, с точки зрения развития промышленного индустриального потенциала, являются Республика Татарстан, Самарская и Нижегородская области. Именно они, по сути образовывают «</w:t>
      </w:r>
      <w:r w:rsidR="00CC1F39" w:rsidRPr="00BA321C">
        <w:rPr>
          <w:rFonts w:ascii="Times New Roman" w:hAnsi="Times New Roman"/>
          <w:sz w:val="28"/>
          <w:szCs w:val="28"/>
        </w:rPr>
        <w:t>каркас</w:t>
      </w:r>
      <w:r w:rsidRPr="00BA321C">
        <w:rPr>
          <w:rFonts w:ascii="Times New Roman" w:hAnsi="Times New Roman"/>
          <w:sz w:val="28"/>
          <w:szCs w:val="28"/>
        </w:rPr>
        <w:t xml:space="preserve">» демографического </w:t>
      </w:r>
      <w:r w:rsidR="00CC1F39" w:rsidRPr="00BA321C">
        <w:rPr>
          <w:rFonts w:ascii="Times New Roman" w:hAnsi="Times New Roman"/>
          <w:sz w:val="28"/>
          <w:szCs w:val="28"/>
        </w:rPr>
        <w:t>профиля</w:t>
      </w:r>
      <w:r w:rsidRPr="00BA321C">
        <w:rPr>
          <w:rFonts w:ascii="Times New Roman" w:hAnsi="Times New Roman"/>
          <w:sz w:val="28"/>
          <w:szCs w:val="28"/>
        </w:rPr>
        <w:t xml:space="preserve"> Приволжского федерального округа, генерирующего потенциал развития производительных сил. Вместе с тем необходимо заметить, что стремительный рост «качества» демографического </w:t>
      </w:r>
      <w:r w:rsidR="004811AC" w:rsidRPr="00BA321C">
        <w:rPr>
          <w:rFonts w:ascii="Times New Roman" w:hAnsi="Times New Roman"/>
          <w:sz w:val="28"/>
          <w:szCs w:val="28"/>
        </w:rPr>
        <w:t>потенциала</w:t>
      </w:r>
      <w:r w:rsidRPr="00BA321C">
        <w:rPr>
          <w:rFonts w:ascii="Times New Roman" w:hAnsi="Times New Roman"/>
          <w:sz w:val="28"/>
          <w:szCs w:val="28"/>
        </w:rPr>
        <w:t xml:space="preserve"> Республики Башкортостан (рост доли населения городов до 12,4% в 2010г.) также предопределяет вхождение данного региона в так называем</w:t>
      </w:r>
      <w:r w:rsidR="00CC1F39" w:rsidRPr="00BA321C">
        <w:rPr>
          <w:rFonts w:ascii="Times New Roman" w:hAnsi="Times New Roman"/>
          <w:sz w:val="28"/>
          <w:szCs w:val="28"/>
        </w:rPr>
        <w:t>ый</w:t>
      </w:r>
      <w:r w:rsidRPr="00BA321C">
        <w:rPr>
          <w:rFonts w:ascii="Times New Roman" w:hAnsi="Times New Roman"/>
          <w:sz w:val="28"/>
          <w:szCs w:val="28"/>
        </w:rPr>
        <w:t xml:space="preserve"> «</w:t>
      </w:r>
      <w:r w:rsidR="00CC1F39" w:rsidRPr="00BA321C">
        <w:rPr>
          <w:rFonts w:ascii="Times New Roman" w:hAnsi="Times New Roman"/>
          <w:sz w:val="28"/>
          <w:szCs w:val="28"/>
        </w:rPr>
        <w:t>каркас</w:t>
      </w:r>
      <w:r w:rsidRPr="00BA321C">
        <w:rPr>
          <w:rFonts w:ascii="Times New Roman" w:hAnsi="Times New Roman"/>
          <w:sz w:val="28"/>
          <w:szCs w:val="28"/>
        </w:rPr>
        <w:t xml:space="preserve">» демографического потенциала ПФО.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Всего городское население </w:t>
      </w:r>
      <w:r w:rsidR="007946A8" w:rsidRPr="00BA321C">
        <w:rPr>
          <w:rFonts w:ascii="Times New Roman" w:hAnsi="Times New Roman"/>
          <w:sz w:val="28"/>
          <w:szCs w:val="28"/>
        </w:rPr>
        <w:t>Р</w:t>
      </w:r>
      <w:r w:rsidRPr="00BA321C">
        <w:rPr>
          <w:rFonts w:ascii="Times New Roman" w:hAnsi="Times New Roman"/>
          <w:sz w:val="28"/>
          <w:szCs w:val="28"/>
        </w:rPr>
        <w:t xml:space="preserve">еспублики </w:t>
      </w:r>
      <w:r w:rsidR="007946A8" w:rsidRPr="00BA321C">
        <w:rPr>
          <w:rFonts w:ascii="Times New Roman" w:hAnsi="Times New Roman"/>
          <w:sz w:val="28"/>
          <w:szCs w:val="28"/>
        </w:rPr>
        <w:t xml:space="preserve">Башкортостан </w:t>
      </w:r>
      <w:r w:rsidRPr="00BA321C">
        <w:rPr>
          <w:rFonts w:ascii="Times New Roman" w:hAnsi="Times New Roman"/>
          <w:sz w:val="28"/>
          <w:szCs w:val="28"/>
        </w:rPr>
        <w:t>в 1989 году составляло 2540,7 тыс.человек. При этом доля городского населения в общей численности постоянного населения республики была заметно меньше, чем в Самарской, Нижегородской областях, Республике Татарстан, и равнялась 64%. Однако с 2002 по 2010 годы доля городского населения в общей численности постоянного населения республики несколько снизилась до 60,45% вследствие преобразования 34 поселков городского типа в сельские поселения. В результате, если в 1989 году в Республике Башкортостан насчитывалось 39 поселков городского типа с численностью городского населения 213,4 тыс.человек, в 2002 году – 36, в которых проживало 227,4 тыс.человек, то в 2010 году – всего 2 с численностью городского населения 42,1 тыс.человек. Причем один из двух поселков городского типа, сохранивший свой статус, – пгт Чишмы, - входил в агломерацию г.Уфы.</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Преобразование поселков городского типа в сельские поселения в целом являлось мерой вынужденной, поскольку получивших сельский статус бывших городских поселениях сельскохозяйственные виды экономической деятельности стали преобладать над промышленностью и торговлей. Вынужденный характер таких преобразований – это «минус». Положительной стороной в этом процессе был рост устойчивости несколько «усеченной» описанными мерами городской системы поселений Республики Башкортостан. Вместе с тем, произошедшая между 2002 и 2010 годами дезурбанизация населения являлась несомненным, достаточно весомым демографическим региональным «пассивом» Республики Башкортостан. Уже этого одного достаточно, чтобы с точки зрения привлекательности в демографическом плане в перспективном промышленно-индустриальном развитии ставить Республику Башкортостан несколько ниже рассмотренных нами Самарской, Нижегородской областей и Республики Татарстан.</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Дополняют демографическую характеристику Республики Башкортостан сведения об уровне экономической активности и типе городского расселения в регионе. По состоянию  на момент переписи </w:t>
      </w:r>
      <w:r w:rsidRPr="00BA321C">
        <w:rPr>
          <w:rFonts w:ascii="Times New Roman" w:hAnsi="Times New Roman"/>
          <w:sz w:val="28"/>
          <w:szCs w:val="28"/>
        </w:rPr>
        <w:lastRenderedPageBreak/>
        <w:t>населения 2002 года уровень экономической активности в экономике республики оценивался в 70%, - несколько выше, чем в среднем по Российской Федерации, но ниже, чем в трех рассмотренных регионах – лидерах ПФО. Что положительно, в Республике Башкортостан, как и в трех ведущих регионах ПФО, имел место тип городского расселения «Д». На долю городов с населением более 200 тыс.человек (Уфа, Стерлитамак) приходилось в 1989 году 52,2%, в 2010 году – уже 54,25%. Города с численностью населения от 100 до 200 тыс.человек (Салават, Нефтекамск, Октябрьский) приходилось в 1989 году 14,3%, в 2010 году – 15,7%, от 50 до 100 тыс.человек, соответственно,14,6% и 18,2%. Существенно сократился, что несомненный «плюс», и удельный вес в городском населении Республики Башкортостан городов и поселков городского типа с численностью городского населения  менее 50 тыс.человек с 18,9% до 11,76%. Последнее в основном было достигнуто за счет преобразования в 2002-2010 годах поселков городского типа в сельские поселения.</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Сравнение приведенной структуры городского расселения в Республике Башкортостан показывает, что в 2010 году была несколько лучше, чем в Нижегородской области, и уступала по качеству Самарской области и Республики Татарстан (по доле городского населения в городах свыше 200 тыс.человек, имея более высокий удельный вес городов с населением от 50 до 100 тыс.человек). Сравнение также показывает, что характерной для Республики Башкортостан структурной особенностью городского расселения является заметно более высокий удельный вес, чем у трех рассмотренных ведущих регионов ПФО, городов с количеством жителей от 100 до 200 тыс.человек: 14,6% в 1989 году, 18,2% в 2010 году.</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Итак, в соответствии с результатами исследования в состав ведущих регионов ПФО, определяющих демографический каркас развития производительных сил, вошли: Республика Татарстан, Самарская и Нижегородская области, а также Республика Башкортостан (рисунок 2.</w:t>
      </w:r>
      <w:r w:rsidR="00760930" w:rsidRPr="00BA321C">
        <w:rPr>
          <w:rFonts w:ascii="Times New Roman" w:hAnsi="Times New Roman"/>
          <w:sz w:val="28"/>
          <w:szCs w:val="28"/>
        </w:rPr>
        <w:t>4.2</w:t>
      </w:r>
      <w:r w:rsidRPr="00BA321C">
        <w:rPr>
          <w:rFonts w:ascii="Times New Roman" w:hAnsi="Times New Roman"/>
          <w:sz w:val="28"/>
          <w:szCs w:val="28"/>
        </w:rPr>
        <w:t xml:space="preserve">). </w:t>
      </w: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rPr>
      </w:pPr>
    </w:p>
    <w:p w:rsidR="008578A8" w:rsidRPr="00BA321C" w:rsidRDefault="00F02869"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noProof/>
          <w:sz w:val="28"/>
          <w:szCs w:val="28"/>
          <w:lang w:eastAsia="ru-RU"/>
        </w:rPr>
        <w:lastRenderedPageBreak/>
        <w:drawing>
          <wp:inline distT="0" distB="0" distL="0" distR="0" wp14:anchorId="09D280FB" wp14:editId="6BAAD9A6">
            <wp:extent cx="5490210" cy="3204210"/>
            <wp:effectExtent l="19050" t="0" r="34290" b="15240"/>
            <wp:docPr id="22" name="Схема 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361EC8" w:rsidRPr="00BA321C" w:rsidRDefault="008578A8"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Рисунок 2.</w:t>
      </w:r>
      <w:r w:rsidR="00090552" w:rsidRPr="00BA321C">
        <w:rPr>
          <w:rFonts w:ascii="Times New Roman" w:hAnsi="Times New Roman"/>
          <w:sz w:val="28"/>
          <w:szCs w:val="28"/>
        </w:rPr>
        <w:t>3</w:t>
      </w:r>
      <w:r w:rsidR="00760930" w:rsidRPr="00BA321C">
        <w:rPr>
          <w:rFonts w:ascii="Times New Roman" w:hAnsi="Times New Roman"/>
          <w:sz w:val="28"/>
          <w:szCs w:val="28"/>
        </w:rPr>
        <w:t>.2</w:t>
      </w:r>
      <w:r w:rsidRPr="00BA321C">
        <w:rPr>
          <w:rFonts w:ascii="Times New Roman" w:hAnsi="Times New Roman"/>
          <w:sz w:val="28"/>
          <w:szCs w:val="28"/>
        </w:rPr>
        <w:t xml:space="preserve"> </w:t>
      </w:r>
      <w:r w:rsidR="00361EC8" w:rsidRPr="00BA321C">
        <w:rPr>
          <w:rFonts w:ascii="Times New Roman" w:hAnsi="Times New Roman"/>
          <w:sz w:val="28"/>
          <w:szCs w:val="28"/>
        </w:rPr>
        <w:t>–</w:t>
      </w:r>
      <w:r w:rsidRPr="00BA321C">
        <w:rPr>
          <w:rFonts w:ascii="Times New Roman" w:hAnsi="Times New Roman"/>
          <w:sz w:val="28"/>
          <w:szCs w:val="28"/>
        </w:rPr>
        <w:t xml:space="preserve"> </w:t>
      </w:r>
      <w:r w:rsidR="00361EC8" w:rsidRPr="00BA321C">
        <w:rPr>
          <w:rFonts w:ascii="Times New Roman" w:hAnsi="Times New Roman"/>
          <w:sz w:val="28"/>
          <w:szCs w:val="28"/>
        </w:rPr>
        <w:t>Иерархия регионов ПФО по уровню развития демографического потенциала</w:t>
      </w:r>
    </w:p>
    <w:p w:rsidR="008578A8" w:rsidRPr="00BA321C" w:rsidRDefault="008578A8" w:rsidP="00BA321C">
      <w:pPr>
        <w:shd w:val="clear" w:color="auto" w:fill="FFFFFF" w:themeFill="background1"/>
        <w:spacing w:after="0" w:line="360" w:lineRule="auto"/>
        <w:ind w:firstLine="567"/>
        <w:jc w:val="both"/>
        <w:rPr>
          <w:rFonts w:ascii="Times New Roman" w:hAnsi="Times New Roman"/>
          <w:sz w:val="28"/>
          <w:szCs w:val="28"/>
        </w:rPr>
      </w:pPr>
    </w:p>
    <w:p w:rsidR="008578A8" w:rsidRPr="00BA321C" w:rsidRDefault="008578A8" w:rsidP="00BA321C">
      <w:pPr>
        <w:shd w:val="clear" w:color="auto" w:fill="FFFFFF" w:themeFill="background1"/>
        <w:spacing w:after="0" w:line="360" w:lineRule="auto"/>
        <w:ind w:firstLine="851"/>
        <w:jc w:val="both"/>
        <w:rPr>
          <w:rFonts w:ascii="Times New Roman" w:hAnsi="Times New Roman"/>
          <w:sz w:val="28"/>
          <w:szCs w:val="28"/>
          <w:lang w:eastAsia="ru-RU"/>
        </w:rPr>
      </w:pPr>
    </w:p>
    <w:p w:rsidR="008578A8" w:rsidRPr="00BA321C" w:rsidRDefault="008578A8" w:rsidP="00BA321C">
      <w:pPr>
        <w:shd w:val="clear" w:color="auto" w:fill="FFFFFF" w:themeFill="background1"/>
      </w:pPr>
    </w:p>
    <w:p w:rsidR="00516F10" w:rsidRDefault="00516F10"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C35E98" w:rsidRPr="00BA321C" w:rsidRDefault="00C35E98" w:rsidP="00BA321C">
      <w:pPr>
        <w:shd w:val="clear" w:color="auto" w:fill="FFFFFF" w:themeFill="background1"/>
        <w:spacing w:after="0" w:line="360" w:lineRule="auto"/>
        <w:ind w:firstLine="851"/>
        <w:jc w:val="both"/>
        <w:rPr>
          <w:rFonts w:ascii="Times New Roman" w:hAnsi="Times New Roman"/>
          <w:sz w:val="28"/>
          <w:szCs w:val="28"/>
          <w:lang w:eastAsia="ru-RU"/>
        </w:rPr>
      </w:pPr>
    </w:p>
    <w:p w:rsidR="00516F10" w:rsidRPr="00BA321C" w:rsidRDefault="00516F10" w:rsidP="00BA321C">
      <w:pPr>
        <w:shd w:val="clear" w:color="auto" w:fill="FFFFFF" w:themeFill="background1"/>
        <w:spacing w:after="0" w:line="360" w:lineRule="auto"/>
        <w:ind w:firstLine="851"/>
        <w:jc w:val="both"/>
        <w:rPr>
          <w:rFonts w:ascii="Times New Roman" w:hAnsi="Times New Roman"/>
          <w:sz w:val="28"/>
          <w:szCs w:val="28"/>
          <w:lang w:eastAsia="ru-RU"/>
        </w:rPr>
      </w:pPr>
    </w:p>
    <w:p w:rsidR="00516F10" w:rsidRPr="00BA321C" w:rsidRDefault="00516F10" w:rsidP="00BA321C">
      <w:pPr>
        <w:shd w:val="clear" w:color="auto" w:fill="FFFFFF" w:themeFill="background1"/>
        <w:spacing w:after="0" w:line="360" w:lineRule="auto"/>
        <w:ind w:firstLine="851"/>
        <w:jc w:val="both"/>
        <w:rPr>
          <w:rFonts w:ascii="Times New Roman" w:hAnsi="Times New Roman"/>
          <w:sz w:val="28"/>
          <w:szCs w:val="28"/>
          <w:lang w:eastAsia="ru-RU"/>
        </w:rPr>
      </w:pPr>
    </w:p>
    <w:p w:rsidR="00DD5559" w:rsidRPr="00BA321C" w:rsidRDefault="00DD5559" w:rsidP="00C35E98">
      <w:pPr>
        <w:pStyle w:val="3"/>
      </w:pPr>
      <w:bookmarkStart w:id="10" w:name="_Toc451869594"/>
      <w:r w:rsidRPr="00BA321C">
        <w:lastRenderedPageBreak/>
        <w:t xml:space="preserve">ГЛАВА 3 КОНЦЕПЦИЯ РАЗРАБОТКИ </w:t>
      </w:r>
      <w:r w:rsidR="00D72D89" w:rsidRPr="00BA321C">
        <w:t xml:space="preserve">И ОБОСНОВАНИЯ </w:t>
      </w:r>
      <w:r w:rsidRPr="00BA321C">
        <w:t>РЕГИОНАЛЬНЫХ СТРАТЕГИЙ РАЗВИТИЯ И РАЗМЕЩЕНИЯ ПРОИЗВОДИТЕЛЬНЫХ СИЛ</w:t>
      </w:r>
      <w:bookmarkEnd w:id="10"/>
    </w:p>
    <w:p w:rsidR="00DD5559" w:rsidRPr="00BA321C" w:rsidRDefault="00DD5559" w:rsidP="00C35E98">
      <w:pPr>
        <w:shd w:val="clear" w:color="auto" w:fill="FFFFFF" w:themeFill="background1"/>
        <w:spacing w:after="0" w:line="360" w:lineRule="auto"/>
        <w:ind w:firstLine="851"/>
        <w:jc w:val="both"/>
        <w:rPr>
          <w:rFonts w:ascii="Times New Roman" w:hAnsi="Times New Roman"/>
          <w:b/>
          <w:sz w:val="28"/>
          <w:szCs w:val="28"/>
          <w:lang w:eastAsia="ru-RU"/>
        </w:rPr>
      </w:pPr>
    </w:p>
    <w:p w:rsidR="007A444E" w:rsidRPr="00BA321C" w:rsidRDefault="00DD5559" w:rsidP="00C35E98">
      <w:pPr>
        <w:pStyle w:val="3"/>
      </w:pPr>
      <w:bookmarkStart w:id="11" w:name="_Toc451869595"/>
      <w:r w:rsidRPr="00BA321C">
        <w:t xml:space="preserve">3.1 </w:t>
      </w:r>
      <w:r w:rsidR="00D72D89" w:rsidRPr="00BA321C">
        <w:t>Прогностические модели влияния институциональных и конъюнктурных региональных потенциалов на эффективность развития производительных сил</w:t>
      </w:r>
      <w:bookmarkEnd w:id="11"/>
    </w:p>
    <w:p w:rsidR="004C66ED" w:rsidRPr="00BA321C" w:rsidRDefault="004C66ED"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 основе генеральной логики исследования индексов социально-экономической привлекательности регионов лежит идея о том, что определение перспектив и целесообразности развития производительных сил на соответствующих территориальных образованиях зависит от совокупности факторов</w:t>
      </w:r>
      <w:r w:rsidR="004B52A5" w:rsidRPr="00BA321C">
        <w:rPr>
          <w:rFonts w:ascii="Times New Roman" w:hAnsi="Times New Roman"/>
          <w:sz w:val="28"/>
          <w:szCs w:val="28"/>
          <w:lang w:eastAsia="ru-RU"/>
        </w:rPr>
        <w:t xml:space="preserve"> (экономических, социальных и институциональных)</w:t>
      </w:r>
      <w:r w:rsidRPr="00BA321C">
        <w:rPr>
          <w:rFonts w:ascii="Times New Roman" w:hAnsi="Times New Roman"/>
          <w:sz w:val="28"/>
          <w:szCs w:val="28"/>
          <w:lang w:eastAsia="ru-RU"/>
        </w:rPr>
        <w:t xml:space="preserve">, которые, в свою очередь, и формируют итоговые значения региональных индексов СЭП. В связи с этим понимание и научно-техническое обоснование трендов </w:t>
      </w:r>
      <w:r w:rsidR="00CC3D01" w:rsidRPr="00BA321C">
        <w:rPr>
          <w:rFonts w:ascii="Times New Roman" w:hAnsi="Times New Roman"/>
          <w:sz w:val="28"/>
          <w:szCs w:val="28"/>
          <w:lang w:eastAsia="ru-RU"/>
        </w:rPr>
        <w:t>социально-экономической привлекательности регионов способствуют построению прогностических моделей их развития, что, в конечном итоге, определяет основные стратегические направления развития производительных сил в соответствии с выявленными факторами конкурентоспособности и потенциалом их развития в обозримом будущем.</w:t>
      </w:r>
    </w:p>
    <w:p w:rsidR="00C26CE5" w:rsidRPr="00BA321C" w:rsidRDefault="009871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Разработанные методические подходы к оценке социально-экономической привлекательности регионов </w:t>
      </w:r>
      <w:r w:rsidR="000145B4" w:rsidRPr="00BA321C">
        <w:rPr>
          <w:rFonts w:ascii="Times New Roman" w:hAnsi="Times New Roman"/>
          <w:sz w:val="28"/>
          <w:szCs w:val="28"/>
          <w:lang w:eastAsia="ru-RU"/>
        </w:rPr>
        <w:t xml:space="preserve">способны обеспечивать условия для прогнозирования не только интегрального индекса СЭП, но и формировать сценарные условия его трендов в зависимости от заданных параметров развития факторов, входящих в его состав. Таким образом разработанная модель способна генерировать различные сценарии развития социально-экономической привлекательности размещения региональных производительных сил в зависимости от программирования отдельных факторов и их динамики. </w:t>
      </w: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Вместе с тем </w:t>
      </w:r>
      <w:r w:rsidR="002A191E" w:rsidRPr="00BA321C">
        <w:rPr>
          <w:rFonts w:ascii="Times New Roman" w:hAnsi="Times New Roman"/>
          <w:sz w:val="28"/>
          <w:szCs w:val="28"/>
        </w:rPr>
        <w:t xml:space="preserve">выдвинутые </w:t>
      </w:r>
      <w:r w:rsidRPr="00BA321C">
        <w:rPr>
          <w:rFonts w:ascii="Times New Roman" w:hAnsi="Times New Roman"/>
          <w:sz w:val="28"/>
          <w:szCs w:val="28"/>
        </w:rPr>
        <w:t xml:space="preserve">предположения и гипотезы несомненно требуют эмпирического обоснования, верифицирующих их. </w:t>
      </w:r>
    </w:p>
    <w:p w:rsidR="001334DD"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В качестве основных подходов, способствующих проведению данного этапа работы, выбраны методы экономико-математического моделирования, позволяющие выявить зависимости между эндогенной переменной (</w:t>
      </w:r>
      <w:r w:rsidR="001334DD" w:rsidRPr="00BA321C">
        <w:rPr>
          <w:rFonts w:ascii="Times New Roman" w:hAnsi="Times New Roman"/>
          <w:sz w:val="28"/>
          <w:szCs w:val="28"/>
        </w:rPr>
        <w:t>темпы роста ВРП</w:t>
      </w:r>
      <w:r w:rsidRPr="00BA321C">
        <w:rPr>
          <w:rFonts w:ascii="Times New Roman" w:hAnsi="Times New Roman"/>
          <w:sz w:val="28"/>
          <w:szCs w:val="28"/>
        </w:rPr>
        <w:t xml:space="preserve">) и экзогенной переменной, отражающей динамику </w:t>
      </w:r>
      <w:r w:rsidR="001334DD" w:rsidRPr="00BA321C">
        <w:rPr>
          <w:rFonts w:ascii="Times New Roman" w:hAnsi="Times New Roman"/>
          <w:sz w:val="28"/>
          <w:szCs w:val="28"/>
        </w:rPr>
        <w:t xml:space="preserve">интегрального </w:t>
      </w:r>
      <w:r w:rsidRPr="00BA321C">
        <w:rPr>
          <w:rFonts w:ascii="Times New Roman" w:hAnsi="Times New Roman"/>
          <w:sz w:val="28"/>
          <w:szCs w:val="28"/>
        </w:rPr>
        <w:t xml:space="preserve">индекса </w:t>
      </w:r>
      <w:r w:rsidR="001334DD" w:rsidRPr="00BA321C">
        <w:rPr>
          <w:rFonts w:ascii="Times New Roman" w:hAnsi="Times New Roman"/>
          <w:sz w:val="28"/>
          <w:szCs w:val="28"/>
        </w:rPr>
        <w:t>СЭП</w:t>
      </w:r>
      <w:r w:rsidRPr="00BA321C">
        <w:rPr>
          <w:rFonts w:ascii="Times New Roman" w:hAnsi="Times New Roman"/>
          <w:sz w:val="28"/>
          <w:szCs w:val="28"/>
        </w:rPr>
        <w:t xml:space="preserve">. </w:t>
      </w:r>
      <w:r w:rsidR="001334DD" w:rsidRPr="00BA321C">
        <w:rPr>
          <w:rFonts w:ascii="Times New Roman" w:hAnsi="Times New Roman"/>
          <w:sz w:val="28"/>
          <w:szCs w:val="28"/>
        </w:rPr>
        <w:t xml:space="preserve">Включение в модель темпов роста валового регионального продукта обоснованно тем, что данный показатель во многом отражает качество </w:t>
      </w:r>
      <w:r w:rsidR="002A191E" w:rsidRPr="00BA321C">
        <w:rPr>
          <w:rFonts w:ascii="Times New Roman" w:hAnsi="Times New Roman"/>
          <w:sz w:val="28"/>
          <w:szCs w:val="28"/>
        </w:rPr>
        <w:t xml:space="preserve">и эффективность </w:t>
      </w:r>
      <w:r w:rsidR="001334DD" w:rsidRPr="00BA321C">
        <w:rPr>
          <w:rFonts w:ascii="Times New Roman" w:hAnsi="Times New Roman"/>
          <w:sz w:val="28"/>
          <w:szCs w:val="28"/>
        </w:rPr>
        <w:t xml:space="preserve">развития производительных сил и их соответствие прогрессивным технологическим укладам. В случае если наблюдается замедление динамики ВРП, значит имеющиеся технологически сопряженные региональные производственные ресурсы перестают формировать высокий экономический эффект и маржинальный </w:t>
      </w:r>
      <w:r w:rsidR="002A191E" w:rsidRPr="00BA321C">
        <w:rPr>
          <w:rFonts w:ascii="Times New Roman" w:hAnsi="Times New Roman"/>
          <w:sz w:val="28"/>
          <w:szCs w:val="28"/>
        </w:rPr>
        <w:t xml:space="preserve">национальный </w:t>
      </w:r>
      <w:r w:rsidR="001334DD" w:rsidRPr="00BA321C">
        <w:rPr>
          <w:rFonts w:ascii="Times New Roman" w:hAnsi="Times New Roman"/>
          <w:sz w:val="28"/>
          <w:szCs w:val="28"/>
        </w:rPr>
        <w:t xml:space="preserve">доход начинает сокращаться. И наоборот, рост динамики ВРП может означать об оптимальном </w:t>
      </w:r>
      <w:r w:rsidR="00D3385D" w:rsidRPr="00BA321C">
        <w:rPr>
          <w:rFonts w:ascii="Times New Roman" w:hAnsi="Times New Roman"/>
          <w:sz w:val="28"/>
          <w:szCs w:val="28"/>
        </w:rPr>
        <w:t>уровне соответствия структуры производительных сил формирующимся в экономике потребностям.</w:t>
      </w:r>
    </w:p>
    <w:p w:rsidR="00C26CE5" w:rsidRPr="00BA321C" w:rsidRDefault="001334DD"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Ниже будет представлен подробный итерационный анализ </w:t>
      </w:r>
      <w:r w:rsidR="00D3385D" w:rsidRPr="00BA321C">
        <w:rPr>
          <w:rFonts w:ascii="Times New Roman" w:hAnsi="Times New Roman"/>
          <w:sz w:val="28"/>
          <w:szCs w:val="28"/>
        </w:rPr>
        <w:t xml:space="preserve">влияния индекса СЭП на динамику ВРП </w:t>
      </w:r>
      <w:r w:rsidR="00787E5A" w:rsidRPr="00BA321C">
        <w:rPr>
          <w:rFonts w:ascii="Times New Roman" w:hAnsi="Times New Roman"/>
          <w:sz w:val="28"/>
          <w:szCs w:val="28"/>
        </w:rPr>
        <w:t>на примере Республики Татарстан, а также представленные в концентрированном виде результаты оценок для других регионов ПФО.</w:t>
      </w:r>
      <w:r w:rsidRPr="00BA321C">
        <w:rPr>
          <w:rFonts w:ascii="Times New Roman" w:hAnsi="Times New Roman"/>
          <w:sz w:val="28"/>
          <w:szCs w:val="28"/>
        </w:rPr>
        <w:t xml:space="preserve"> Результаты экономико-математического моделирования для других регионов, входящих в состав Приволжского федерального округа, приведены в Приложении </w:t>
      </w:r>
      <w:r w:rsidR="002A191E" w:rsidRPr="00BA321C">
        <w:rPr>
          <w:rFonts w:ascii="Times New Roman" w:hAnsi="Times New Roman"/>
          <w:sz w:val="28"/>
          <w:szCs w:val="28"/>
        </w:rPr>
        <w:t>4</w:t>
      </w:r>
      <w:r w:rsidR="005C4E03" w:rsidRPr="00BA321C">
        <w:rPr>
          <w:rFonts w:ascii="Times New Roman" w:hAnsi="Times New Roman"/>
          <w:sz w:val="28"/>
          <w:szCs w:val="28"/>
        </w:rPr>
        <w:t xml:space="preserve"> в разрезе </w:t>
      </w:r>
      <w:r w:rsidR="006C3319" w:rsidRPr="00BA321C">
        <w:rPr>
          <w:rFonts w:ascii="Times New Roman" w:hAnsi="Times New Roman"/>
          <w:sz w:val="28"/>
          <w:szCs w:val="28"/>
        </w:rPr>
        <w:t xml:space="preserve">ключевых </w:t>
      </w:r>
      <w:r w:rsidR="005C4E03" w:rsidRPr="00BA321C">
        <w:rPr>
          <w:rFonts w:ascii="Times New Roman" w:hAnsi="Times New Roman"/>
          <w:sz w:val="28"/>
          <w:szCs w:val="28"/>
        </w:rPr>
        <w:t>регионов – представителей определенных в работе трех кластеров</w:t>
      </w:r>
      <w:r w:rsidRPr="00BA321C">
        <w:rPr>
          <w:rFonts w:ascii="Times New Roman" w:hAnsi="Times New Roman"/>
          <w:sz w:val="28"/>
          <w:szCs w:val="28"/>
        </w:rPr>
        <w:t>.</w:t>
      </w:r>
      <w:r w:rsidR="006C3319" w:rsidRPr="00BA321C">
        <w:rPr>
          <w:rFonts w:ascii="Times New Roman" w:hAnsi="Times New Roman"/>
          <w:sz w:val="28"/>
          <w:szCs w:val="28"/>
        </w:rPr>
        <w:t xml:space="preserve"> Ключевые регионы были определены на основе их максимальной сходимости к конечным центрам кластеров. По результатам кластерного анализа к ним были отнесены: Республика Татарстан, Республика Мордовия и Ульяновская область.</w:t>
      </w: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Результаты регрессионного анализа влияния индекса </w:t>
      </w:r>
      <w:r w:rsidR="00787E5A" w:rsidRPr="00BA321C">
        <w:rPr>
          <w:rFonts w:ascii="Times New Roman" w:hAnsi="Times New Roman"/>
          <w:sz w:val="28"/>
          <w:szCs w:val="28"/>
        </w:rPr>
        <w:t>СЭП</w:t>
      </w:r>
      <w:r w:rsidRPr="00BA321C">
        <w:rPr>
          <w:rFonts w:ascii="Times New Roman" w:hAnsi="Times New Roman"/>
          <w:sz w:val="28"/>
          <w:szCs w:val="28"/>
        </w:rPr>
        <w:t xml:space="preserve"> на динамику </w:t>
      </w:r>
      <w:r w:rsidR="00787E5A" w:rsidRPr="00BA321C">
        <w:rPr>
          <w:rFonts w:ascii="Times New Roman" w:hAnsi="Times New Roman"/>
          <w:sz w:val="28"/>
          <w:szCs w:val="28"/>
        </w:rPr>
        <w:t>ВРП</w:t>
      </w:r>
      <w:r w:rsidRPr="00BA321C">
        <w:rPr>
          <w:rFonts w:ascii="Times New Roman" w:hAnsi="Times New Roman"/>
          <w:sz w:val="28"/>
          <w:szCs w:val="28"/>
        </w:rPr>
        <w:t xml:space="preserve"> </w:t>
      </w:r>
      <w:r w:rsidR="00787E5A" w:rsidRPr="00BA321C">
        <w:rPr>
          <w:rFonts w:ascii="Times New Roman" w:hAnsi="Times New Roman"/>
          <w:sz w:val="28"/>
          <w:szCs w:val="28"/>
        </w:rPr>
        <w:t xml:space="preserve">Республики Татарстан </w:t>
      </w:r>
      <w:r w:rsidRPr="00BA321C">
        <w:rPr>
          <w:rFonts w:ascii="Times New Roman" w:hAnsi="Times New Roman"/>
          <w:sz w:val="28"/>
          <w:szCs w:val="28"/>
        </w:rPr>
        <w:t xml:space="preserve">за период с </w:t>
      </w:r>
      <w:r w:rsidR="00787E5A" w:rsidRPr="00BA321C">
        <w:rPr>
          <w:rFonts w:ascii="Times New Roman" w:hAnsi="Times New Roman"/>
          <w:sz w:val="28"/>
          <w:szCs w:val="28"/>
        </w:rPr>
        <w:t>2005</w:t>
      </w:r>
      <w:r w:rsidRPr="00BA321C">
        <w:rPr>
          <w:rFonts w:ascii="Times New Roman" w:hAnsi="Times New Roman"/>
          <w:sz w:val="28"/>
          <w:szCs w:val="28"/>
        </w:rPr>
        <w:t xml:space="preserve"> по 201</w:t>
      </w:r>
      <w:r w:rsidR="00787E5A" w:rsidRPr="00BA321C">
        <w:rPr>
          <w:rFonts w:ascii="Times New Roman" w:hAnsi="Times New Roman"/>
          <w:sz w:val="28"/>
          <w:szCs w:val="28"/>
        </w:rPr>
        <w:t>4</w:t>
      </w:r>
      <w:r w:rsidRPr="00BA321C">
        <w:rPr>
          <w:rFonts w:ascii="Times New Roman" w:hAnsi="Times New Roman"/>
          <w:sz w:val="28"/>
          <w:szCs w:val="28"/>
        </w:rPr>
        <w:t xml:space="preserve">гг. представлены в таблицах </w:t>
      </w:r>
      <w:r w:rsidR="002A191E" w:rsidRPr="00BA321C">
        <w:rPr>
          <w:rFonts w:ascii="Times New Roman" w:hAnsi="Times New Roman"/>
          <w:sz w:val="28"/>
          <w:szCs w:val="28"/>
        </w:rPr>
        <w:t>3.1.1</w:t>
      </w:r>
      <w:r w:rsidRPr="00BA321C">
        <w:rPr>
          <w:rFonts w:ascii="Times New Roman" w:hAnsi="Times New Roman"/>
          <w:sz w:val="28"/>
          <w:szCs w:val="28"/>
        </w:rPr>
        <w:t xml:space="preserve">, </w:t>
      </w:r>
      <w:r w:rsidR="002A191E" w:rsidRPr="00BA321C">
        <w:rPr>
          <w:rFonts w:ascii="Times New Roman" w:hAnsi="Times New Roman"/>
          <w:sz w:val="28"/>
          <w:szCs w:val="28"/>
        </w:rPr>
        <w:t>3.1.</w:t>
      </w:r>
      <w:r w:rsidRPr="00BA321C">
        <w:rPr>
          <w:rFonts w:ascii="Times New Roman" w:hAnsi="Times New Roman"/>
          <w:sz w:val="28"/>
          <w:szCs w:val="28"/>
        </w:rPr>
        <w:t xml:space="preserve">2 и приложении </w:t>
      </w:r>
      <w:r w:rsidR="002A191E" w:rsidRPr="00BA321C">
        <w:rPr>
          <w:rFonts w:ascii="Times New Roman" w:hAnsi="Times New Roman"/>
          <w:sz w:val="28"/>
          <w:szCs w:val="28"/>
        </w:rPr>
        <w:t>4</w:t>
      </w:r>
      <w:r w:rsidRPr="00BA321C">
        <w:rPr>
          <w:rFonts w:ascii="Times New Roman" w:hAnsi="Times New Roman"/>
          <w:sz w:val="28"/>
          <w:szCs w:val="28"/>
        </w:rPr>
        <w:t xml:space="preserve">. </w:t>
      </w:r>
    </w:p>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p>
    <w:p w:rsidR="002A191E" w:rsidRPr="00BA321C" w:rsidRDefault="002A191E" w:rsidP="00BA321C">
      <w:pPr>
        <w:shd w:val="clear" w:color="auto" w:fill="FFFFFF" w:themeFill="background1"/>
        <w:spacing w:after="0" w:line="360" w:lineRule="auto"/>
        <w:jc w:val="both"/>
        <w:rPr>
          <w:rFonts w:ascii="Times New Roman" w:hAnsi="Times New Roman"/>
          <w:sz w:val="28"/>
          <w:szCs w:val="28"/>
        </w:rPr>
      </w:pPr>
    </w:p>
    <w:p w:rsidR="002A191E" w:rsidRPr="00BA321C" w:rsidRDefault="002A191E" w:rsidP="00BA321C">
      <w:pPr>
        <w:shd w:val="clear" w:color="auto" w:fill="FFFFFF" w:themeFill="background1"/>
        <w:spacing w:after="0" w:line="360" w:lineRule="auto"/>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Таблица </w:t>
      </w:r>
      <w:r w:rsidR="002A191E" w:rsidRPr="00BA321C">
        <w:rPr>
          <w:rFonts w:ascii="Times New Roman" w:hAnsi="Times New Roman"/>
          <w:sz w:val="28"/>
          <w:szCs w:val="28"/>
        </w:rPr>
        <w:t>3.1.</w:t>
      </w:r>
      <w:r w:rsidRPr="00BA321C">
        <w:rPr>
          <w:rFonts w:ascii="Times New Roman" w:hAnsi="Times New Roman"/>
          <w:sz w:val="28"/>
          <w:szCs w:val="28"/>
        </w:rPr>
        <w:t>1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5"/>
        <w:gridCol w:w="3260"/>
      </w:tblGrid>
      <w:tr w:rsidR="00C26CE5" w:rsidRPr="00BA321C" w:rsidTr="00F6641B">
        <w:trPr>
          <w:trHeight w:val="300"/>
        </w:trPr>
        <w:tc>
          <w:tcPr>
            <w:tcW w:w="3256" w:type="pct"/>
            <w:shd w:val="clear" w:color="auto" w:fill="auto"/>
            <w:noWrap/>
            <w:vAlign w:val="bottom"/>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Показатель</w:t>
            </w:r>
          </w:p>
        </w:tc>
        <w:tc>
          <w:tcPr>
            <w:tcW w:w="1744" w:type="pct"/>
            <w:shd w:val="clear" w:color="auto" w:fill="auto"/>
            <w:noWrap/>
            <w:vAlign w:val="bottom"/>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Значение</w:t>
            </w:r>
          </w:p>
        </w:tc>
      </w:tr>
      <w:tr w:rsidR="00C26CE5" w:rsidRPr="00BA321C" w:rsidTr="00F6641B">
        <w:trPr>
          <w:trHeight w:val="300"/>
        </w:trPr>
        <w:tc>
          <w:tcPr>
            <w:tcW w:w="3256"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Множественный R</w:t>
            </w:r>
          </w:p>
        </w:tc>
        <w:tc>
          <w:tcPr>
            <w:tcW w:w="1744"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0,686523043</w:t>
            </w:r>
          </w:p>
        </w:tc>
      </w:tr>
      <w:tr w:rsidR="00C26CE5" w:rsidRPr="00BA321C" w:rsidTr="00F6641B">
        <w:trPr>
          <w:trHeight w:val="300"/>
        </w:trPr>
        <w:tc>
          <w:tcPr>
            <w:tcW w:w="3256"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R-квадрат</w:t>
            </w:r>
          </w:p>
        </w:tc>
        <w:tc>
          <w:tcPr>
            <w:tcW w:w="1744"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0,471313888</w:t>
            </w:r>
          </w:p>
        </w:tc>
      </w:tr>
      <w:tr w:rsidR="00C26CE5" w:rsidRPr="00BA321C" w:rsidTr="00F6641B">
        <w:trPr>
          <w:trHeight w:val="300"/>
        </w:trPr>
        <w:tc>
          <w:tcPr>
            <w:tcW w:w="3256"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Нормированный R-квадрат</w:t>
            </w:r>
          </w:p>
        </w:tc>
        <w:tc>
          <w:tcPr>
            <w:tcW w:w="1744"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0,441942437</w:t>
            </w:r>
          </w:p>
        </w:tc>
      </w:tr>
      <w:tr w:rsidR="00C26CE5" w:rsidRPr="00BA321C" w:rsidTr="00F6641B">
        <w:trPr>
          <w:trHeight w:val="300"/>
        </w:trPr>
        <w:tc>
          <w:tcPr>
            <w:tcW w:w="3256"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Стандартная ошибка</w:t>
            </w:r>
          </w:p>
        </w:tc>
        <w:tc>
          <w:tcPr>
            <w:tcW w:w="1744"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0,747032504</w:t>
            </w:r>
          </w:p>
        </w:tc>
      </w:tr>
      <w:tr w:rsidR="00C26CE5" w:rsidRPr="00BA321C" w:rsidTr="00F6641B">
        <w:trPr>
          <w:trHeight w:val="315"/>
        </w:trPr>
        <w:tc>
          <w:tcPr>
            <w:tcW w:w="3256"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Наблюдения</w:t>
            </w:r>
          </w:p>
        </w:tc>
        <w:tc>
          <w:tcPr>
            <w:tcW w:w="1744" w:type="pct"/>
            <w:shd w:val="clear" w:color="auto" w:fill="auto"/>
            <w:noWrap/>
            <w:vAlign w:val="bottom"/>
            <w:hideMark/>
          </w:tcPr>
          <w:p w:rsidR="00C26CE5"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w:t>
            </w:r>
            <w:r w:rsidR="00C26CE5" w:rsidRPr="00BA321C">
              <w:rPr>
                <w:rFonts w:ascii="Times New Roman" w:eastAsia="Times New Roman" w:hAnsi="Times New Roman"/>
                <w:sz w:val="24"/>
                <w:szCs w:val="28"/>
                <w:lang w:eastAsia="ru-RU"/>
              </w:rPr>
              <w:t>0</w:t>
            </w:r>
          </w:p>
        </w:tc>
      </w:tr>
    </w:tbl>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2A191E" w:rsidRPr="00BA321C">
        <w:rPr>
          <w:rFonts w:ascii="Times New Roman" w:hAnsi="Times New Roman"/>
          <w:sz w:val="28"/>
          <w:szCs w:val="28"/>
        </w:rPr>
        <w:t>3.1.</w:t>
      </w:r>
      <w:r w:rsidRPr="00BA321C">
        <w:rPr>
          <w:rFonts w:ascii="Times New Roman" w:hAnsi="Times New Roman"/>
          <w:sz w:val="28"/>
          <w:szCs w:val="28"/>
        </w:rPr>
        <w:t>2 – Значения коэффициентов и их статистическая значимость</w:t>
      </w:r>
    </w:p>
    <w:tbl>
      <w:tblPr>
        <w:tblW w:w="42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922"/>
        <w:gridCol w:w="2523"/>
        <w:gridCol w:w="1577"/>
        <w:gridCol w:w="1468"/>
      </w:tblGrid>
      <w:tr w:rsidR="00C26CE5" w:rsidRPr="00BA321C" w:rsidTr="00F6641B">
        <w:trPr>
          <w:trHeight w:val="300"/>
        </w:trPr>
        <w:tc>
          <w:tcPr>
            <w:tcW w:w="948"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
                <w:iCs/>
                <w:sz w:val="28"/>
                <w:szCs w:val="28"/>
                <w:lang w:eastAsia="ru-RU"/>
              </w:rPr>
              <w:t> </w:t>
            </w:r>
          </w:p>
        </w:tc>
        <w:tc>
          <w:tcPr>
            <w:tcW w:w="1017"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Коэффициенты</w:t>
            </w:r>
          </w:p>
        </w:tc>
        <w:tc>
          <w:tcPr>
            <w:tcW w:w="1361"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Стандартная ошибка</w:t>
            </w:r>
          </w:p>
        </w:tc>
        <w:tc>
          <w:tcPr>
            <w:tcW w:w="922"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t-статистика</w:t>
            </w:r>
          </w:p>
        </w:tc>
        <w:tc>
          <w:tcPr>
            <w:tcW w:w="752"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P-Значение</w:t>
            </w:r>
          </w:p>
        </w:tc>
      </w:tr>
      <w:tr w:rsidR="00C26CE5" w:rsidRPr="00BA321C" w:rsidTr="00F6641B">
        <w:trPr>
          <w:trHeight w:val="300"/>
        </w:trPr>
        <w:tc>
          <w:tcPr>
            <w:tcW w:w="948"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Y-пересечение</w:t>
            </w:r>
          </w:p>
        </w:tc>
        <w:tc>
          <w:tcPr>
            <w:tcW w:w="1017" w:type="pct"/>
            <w:shd w:val="clear" w:color="auto" w:fill="auto"/>
            <w:noWrap/>
            <w:vAlign w:val="center"/>
            <w:hideMark/>
          </w:tcPr>
          <w:p w:rsidR="00C26CE5"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91,211</w:t>
            </w:r>
          </w:p>
        </w:tc>
        <w:tc>
          <w:tcPr>
            <w:tcW w:w="1361" w:type="pct"/>
            <w:shd w:val="clear" w:color="auto" w:fill="auto"/>
            <w:noWrap/>
            <w:vAlign w:val="center"/>
            <w:hideMark/>
          </w:tcPr>
          <w:p w:rsidR="00C26CE5"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3</w:t>
            </w:r>
            <w:r w:rsidR="00C26CE5" w:rsidRPr="00BA321C">
              <w:rPr>
                <w:rFonts w:ascii="Times New Roman" w:eastAsia="Times New Roman" w:hAnsi="Times New Roman"/>
                <w:sz w:val="28"/>
                <w:szCs w:val="28"/>
                <w:lang w:eastAsia="ru-RU"/>
              </w:rPr>
              <w:t>,172</w:t>
            </w:r>
          </w:p>
        </w:tc>
        <w:tc>
          <w:tcPr>
            <w:tcW w:w="922"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0,982</w:t>
            </w:r>
          </w:p>
        </w:tc>
        <w:tc>
          <w:tcPr>
            <w:tcW w:w="752"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0,339</w:t>
            </w:r>
          </w:p>
        </w:tc>
      </w:tr>
      <w:tr w:rsidR="00C26CE5" w:rsidRPr="00BA321C" w:rsidTr="00F6641B">
        <w:trPr>
          <w:trHeight w:val="315"/>
        </w:trPr>
        <w:tc>
          <w:tcPr>
            <w:tcW w:w="948"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I</w:t>
            </w:r>
          </w:p>
        </w:tc>
        <w:tc>
          <w:tcPr>
            <w:tcW w:w="1017" w:type="pct"/>
            <w:shd w:val="clear" w:color="auto" w:fill="auto"/>
            <w:noWrap/>
            <w:vAlign w:val="center"/>
            <w:hideMark/>
          </w:tcPr>
          <w:p w:rsidR="00C26CE5"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0,2</w:t>
            </w:r>
            <w:r w:rsidR="00C26CE5" w:rsidRPr="00BA321C">
              <w:rPr>
                <w:rFonts w:ascii="Times New Roman" w:eastAsia="Times New Roman" w:hAnsi="Times New Roman"/>
                <w:sz w:val="28"/>
                <w:szCs w:val="28"/>
                <w:lang w:eastAsia="ru-RU"/>
              </w:rPr>
              <w:t>2</w:t>
            </w:r>
            <w:r w:rsidRPr="00BA321C">
              <w:rPr>
                <w:rFonts w:ascii="Times New Roman" w:eastAsia="Times New Roman" w:hAnsi="Times New Roman"/>
                <w:sz w:val="28"/>
                <w:szCs w:val="28"/>
                <w:lang w:eastAsia="ru-RU"/>
              </w:rPr>
              <w:t>2</w:t>
            </w:r>
          </w:p>
        </w:tc>
        <w:tc>
          <w:tcPr>
            <w:tcW w:w="1361" w:type="pct"/>
            <w:shd w:val="clear" w:color="auto" w:fill="auto"/>
            <w:noWrap/>
            <w:vAlign w:val="center"/>
            <w:hideMark/>
          </w:tcPr>
          <w:p w:rsidR="00C26CE5"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C26CE5" w:rsidRPr="00BA321C">
              <w:rPr>
                <w:rFonts w:ascii="Times New Roman" w:eastAsia="Times New Roman" w:hAnsi="Times New Roman"/>
                <w:sz w:val="28"/>
                <w:szCs w:val="28"/>
                <w:lang w:eastAsia="ru-RU"/>
              </w:rPr>
              <w:t>,</w:t>
            </w:r>
            <w:r w:rsidRPr="00BA321C">
              <w:rPr>
                <w:rFonts w:ascii="Times New Roman" w:eastAsia="Times New Roman" w:hAnsi="Times New Roman"/>
                <w:sz w:val="28"/>
                <w:szCs w:val="28"/>
                <w:lang w:eastAsia="ru-RU"/>
              </w:rPr>
              <w:t>9</w:t>
            </w:r>
            <w:r w:rsidR="00C26CE5" w:rsidRPr="00BA321C">
              <w:rPr>
                <w:rFonts w:ascii="Times New Roman" w:eastAsia="Times New Roman" w:hAnsi="Times New Roman"/>
                <w:sz w:val="28"/>
                <w:szCs w:val="28"/>
                <w:lang w:eastAsia="ru-RU"/>
              </w:rPr>
              <w:t>51</w:t>
            </w:r>
          </w:p>
        </w:tc>
        <w:tc>
          <w:tcPr>
            <w:tcW w:w="922"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4,006</w:t>
            </w:r>
          </w:p>
        </w:tc>
        <w:tc>
          <w:tcPr>
            <w:tcW w:w="752"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0,001</w:t>
            </w:r>
          </w:p>
        </w:tc>
      </w:tr>
    </w:tbl>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Представленные результаты расчетов демонстрируют несостоятельность построенной модели (R2 = 0.47; критерии p – значения больше заданного уровня значимости 0,05; критическое значение коэффициента Стьюдента (t-критерия) для доверительной вероятности p = 0,95 и числа степеней свободы f = </w:t>
      </w:r>
      <w:r w:rsidR="00787E5A" w:rsidRPr="00BA321C">
        <w:rPr>
          <w:rFonts w:ascii="Times New Roman" w:hAnsi="Times New Roman"/>
          <w:sz w:val="28"/>
          <w:szCs w:val="28"/>
        </w:rPr>
        <w:t>10</w:t>
      </w:r>
      <w:r w:rsidRPr="00BA321C">
        <w:rPr>
          <w:rFonts w:ascii="Times New Roman" w:hAnsi="Times New Roman"/>
          <w:sz w:val="28"/>
          <w:szCs w:val="28"/>
        </w:rPr>
        <w:t xml:space="preserve">, превышает значения статистики по абсолютной величине критического значения данного распределения и т. п.) в связи с чем она подверглась ряду преобразований, направленных на достижение статистически значимых результатов. При этом основным инструментом оптимизации регрессионной модели стал метод фиктивных переменных, позволяющий определить влияние качественных признаков и событий на объясняемую переменную – индекс </w:t>
      </w:r>
      <w:r w:rsidR="00787E5A" w:rsidRPr="00BA321C">
        <w:rPr>
          <w:rFonts w:ascii="Times New Roman" w:hAnsi="Times New Roman"/>
          <w:sz w:val="28"/>
          <w:szCs w:val="28"/>
        </w:rPr>
        <w:t>ВРП</w:t>
      </w:r>
      <w:r w:rsidRPr="00BA321C">
        <w:rPr>
          <w:rFonts w:ascii="Times New Roman" w:hAnsi="Times New Roman"/>
          <w:sz w:val="28"/>
          <w:szCs w:val="28"/>
        </w:rPr>
        <w:t xml:space="preserve">. При этом фиктивная переменная является дихотомической, принимающей, соответственно, два значения: </w:t>
      </w:r>
      <w:r w:rsidRPr="00BA321C">
        <w:rPr>
          <w:rFonts w:ascii="Times New Roman" w:hAnsi="Times New Roman"/>
          <w:sz w:val="28"/>
          <w:szCs w:val="28"/>
          <w:lang w:val="en-US"/>
        </w:rPr>
        <w:t>f</w:t>
      </w:r>
      <w:r w:rsidRPr="00BA321C">
        <w:rPr>
          <w:rFonts w:ascii="Times New Roman" w:hAnsi="Times New Roman"/>
          <w:sz w:val="28"/>
          <w:szCs w:val="28"/>
        </w:rPr>
        <w:t xml:space="preserve">=1, в случае если остатки значений предсказанного ряда принимают положительное значение и f=0 - если отрицательное. Окончательная модель, оценивающая влияние индекса опережающего развития на динамику </w:t>
      </w:r>
      <w:r w:rsidR="00787E5A" w:rsidRPr="00BA321C">
        <w:rPr>
          <w:rFonts w:ascii="Times New Roman" w:hAnsi="Times New Roman"/>
          <w:sz w:val="28"/>
          <w:szCs w:val="28"/>
        </w:rPr>
        <w:t>ВРП</w:t>
      </w:r>
      <w:r w:rsidRPr="00BA321C">
        <w:rPr>
          <w:rFonts w:ascii="Times New Roman" w:hAnsi="Times New Roman"/>
          <w:sz w:val="28"/>
          <w:szCs w:val="28"/>
        </w:rPr>
        <w:t xml:space="preserve"> представлена в таблицах </w:t>
      </w:r>
      <w:r w:rsidR="002A191E" w:rsidRPr="00BA321C">
        <w:rPr>
          <w:rFonts w:ascii="Times New Roman" w:hAnsi="Times New Roman"/>
          <w:sz w:val="28"/>
          <w:szCs w:val="28"/>
        </w:rPr>
        <w:t>3.1.3</w:t>
      </w:r>
      <w:r w:rsidRPr="00BA321C">
        <w:rPr>
          <w:rFonts w:ascii="Times New Roman" w:hAnsi="Times New Roman"/>
          <w:sz w:val="28"/>
          <w:szCs w:val="28"/>
        </w:rPr>
        <w:t>, Приложени</w:t>
      </w:r>
      <w:r w:rsidR="002A191E" w:rsidRPr="00BA321C">
        <w:rPr>
          <w:rFonts w:ascii="Times New Roman" w:hAnsi="Times New Roman"/>
          <w:sz w:val="28"/>
          <w:szCs w:val="28"/>
        </w:rPr>
        <w:t>и</w:t>
      </w:r>
      <w:r w:rsidRPr="00BA321C">
        <w:rPr>
          <w:rFonts w:ascii="Times New Roman" w:hAnsi="Times New Roman"/>
          <w:sz w:val="28"/>
          <w:szCs w:val="28"/>
        </w:rPr>
        <w:t xml:space="preserve"> </w:t>
      </w:r>
      <w:r w:rsidR="002A191E" w:rsidRPr="00BA321C">
        <w:rPr>
          <w:rFonts w:ascii="Times New Roman" w:hAnsi="Times New Roman"/>
          <w:sz w:val="28"/>
          <w:szCs w:val="28"/>
        </w:rPr>
        <w:t>4</w:t>
      </w:r>
      <w:r w:rsidRPr="00BA321C">
        <w:rPr>
          <w:rFonts w:ascii="Times New Roman" w:hAnsi="Times New Roman"/>
          <w:sz w:val="28"/>
          <w:szCs w:val="28"/>
        </w:rPr>
        <w:t xml:space="preserve">. </w:t>
      </w:r>
    </w:p>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Таблица </w:t>
      </w:r>
      <w:r w:rsidR="002A191E" w:rsidRPr="00BA321C">
        <w:rPr>
          <w:rFonts w:ascii="Times New Roman" w:hAnsi="Times New Roman"/>
          <w:sz w:val="28"/>
          <w:szCs w:val="28"/>
        </w:rPr>
        <w:t>3.1.3</w:t>
      </w:r>
      <w:r w:rsidRPr="00BA321C">
        <w:rPr>
          <w:rFonts w:ascii="Times New Roman" w:hAnsi="Times New Roman"/>
          <w:sz w:val="28"/>
          <w:szCs w:val="28"/>
        </w:rPr>
        <w:t xml:space="preserve">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0"/>
        <w:gridCol w:w="2815"/>
      </w:tblGrid>
      <w:tr w:rsidR="00C26CE5" w:rsidRPr="00BA321C" w:rsidTr="00F6641B">
        <w:trPr>
          <w:trHeight w:val="300"/>
        </w:trPr>
        <w:tc>
          <w:tcPr>
            <w:tcW w:w="3494"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Множественный R</w:t>
            </w:r>
          </w:p>
        </w:tc>
        <w:tc>
          <w:tcPr>
            <w:tcW w:w="1506"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0,9</w:t>
            </w:r>
            <w:r w:rsidR="002A191E" w:rsidRPr="00BA321C">
              <w:rPr>
                <w:rFonts w:ascii="Times New Roman" w:eastAsia="Times New Roman" w:hAnsi="Times New Roman"/>
                <w:sz w:val="28"/>
                <w:szCs w:val="28"/>
                <w:lang w:eastAsia="ru-RU"/>
              </w:rPr>
              <w:t>2</w:t>
            </w:r>
            <w:r w:rsidRPr="00BA321C">
              <w:rPr>
                <w:rFonts w:ascii="Times New Roman" w:eastAsia="Times New Roman" w:hAnsi="Times New Roman"/>
                <w:sz w:val="28"/>
                <w:szCs w:val="28"/>
                <w:lang w:eastAsia="ru-RU"/>
              </w:rPr>
              <w:t>1373</w:t>
            </w:r>
          </w:p>
        </w:tc>
      </w:tr>
      <w:tr w:rsidR="00C26CE5" w:rsidRPr="00BA321C" w:rsidTr="00F6641B">
        <w:trPr>
          <w:trHeight w:val="300"/>
        </w:trPr>
        <w:tc>
          <w:tcPr>
            <w:tcW w:w="3494"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R-квадрат</w:t>
            </w:r>
          </w:p>
        </w:tc>
        <w:tc>
          <w:tcPr>
            <w:tcW w:w="1506"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0,9</w:t>
            </w:r>
            <w:r w:rsidR="002A191E" w:rsidRPr="00BA321C">
              <w:rPr>
                <w:rFonts w:ascii="Times New Roman" w:eastAsia="Times New Roman" w:hAnsi="Times New Roman"/>
                <w:sz w:val="28"/>
                <w:szCs w:val="28"/>
                <w:lang w:eastAsia="ru-RU"/>
              </w:rPr>
              <w:t>0</w:t>
            </w:r>
            <w:r w:rsidRPr="00BA321C">
              <w:rPr>
                <w:rFonts w:ascii="Times New Roman" w:eastAsia="Times New Roman" w:hAnsi="Times New Roman"/>
                <w:sz w:val="28"/>
                <w:szCs w:val="28"/>
                <w:lang w:eastAsia="ru-RU"/>
              </w:rPr>
              <w:t>3093</w:t>
            </w:r>
          </w:p>
        </w:tc>
      </w:tr>
      <w:tr w:rsidR="00C26CE5" w:rsidRPr="00BA321C" w:rsidTr="00F6641B">
        <w:trPr>
          <w:trHeight w:val="300"/>
        </w:trPr>
        <w:tc>
          <w:tcPr>
            <w:tcW w:w="3494"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Нормированный R-квадрат</w:t>
            </w:r>
          </w:p>
        </w:tc>
        <w:tc>
          <w:tcPr>
            <w:tcW w:w="1506"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0,953251</w:t>
            </w:r>
          </w:p>
        </w:tc>
      </w:tr>
      <w:tr w:rsidR="00C26CE5" w:rsidRPr="00BA321C" w:rsidTr="00F6641B">
        <w:trPr>
          <w:trHeight w:val="300"/>
        </w:trPr>
        <w:tc>
          <w:tcPr>
            <w:tcW w:w="3494"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Стандартная ошибка</w:t>
            </w:r>
          </w:p>
        </w:tc>
        <w:tc>
          <w:tcPr>
            <w:tcW w:w="1506"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0,216215</w:t>
            </w:r>
          </w:p>
        </w:tc>
      </w:tr>
      <w:tr w:rsidR="00C26CE5" w:rsidRPr="00BA321C" w:rsidTr="00F6641B">
        <w:trPr>
          <w:trHeight w:val="315"/>
        </w:trPr>
        <w:tc>
          <w:tcPr>
            <w:tcW w:w="3494"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Наблюдения</w:t>
            </w:r>
          </w:p>
        </w:tc>
        <w:tc>
          <w:tcPr>
            <w:tcW w:w="1506" w:type="pct"/>
            <w:shd w:val="clear" w:color="auto" w:fill="auto"/>
            <w:noWrap/>
            <w:vAlign w:val="bottom"/>
            <w:hideMark/>
          </w:tcPr>
          <w:p w:rsidR="00C26CE5" w:rsidRPr="00BA321C" w:rsidRDefault="00E720C2"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w:t>
            </w:r>
            <w:r w:rsidR="00C26CE5" w:rsidRPr="00BA321C">
              <w:rPr>
                <w:rFonts w:ascii="Times New Roman" w:eastAsia="Times New Roman" w:hAnsi="Times New Roman"/>
                <w:sz w:val="28"/>
                <w:szCs w:val="28"/>
                <w:lang w:eastAsia="ru-RU"/>
              </w:rPr>
              <w:t>0</w:t>
            </w:r>
          </w:p>
        </w:tc>
      </w:tr>
    </w:tbl>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2A191E" w:rsidRPr="00BA321C">
        <w:rPr>
          <w:rFonts w:ascii="Times New Roman" w:hAnsi="Times New Roman"/>
          <w:sz w:val="28"/>
          <w:szCs w:val="28"/>
        </w:rPr>
        <w:t>3.1.4</w:t>
      </w:r>
      <w:r w:rsidRPr="00BA321C">
        <w:rPr>
          <w:rFonts w:ascii="Times New Roman" w:hAnsi="Times New Roman"/>
          <w:sz w:val="28"/>
          <w:szCs w:val="28"/>
        </w:rPr>
        <w:t xml:space="preserve"> - Значения коэффициентов и их статистическая значимость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885"/>
        <w:gridCol w:w="2474"/>
        <w:gridCol w:w="1632"/>
        <w:gridCol w:w="1533"/>
      </w:tblGrid>
      <w:tr w:rsidR="00C26CE5" w:rsidRPr="00BA321C" w:rsidTr="00787E5A">
        <w:trPr>
          <w:trHeight w:val="300"/>
        </w:trPr>
        <w:tc>
          <w:tcPr>
            <w:tcW w:w="917"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p>
        </w:tc>
        <w:tc>
          <w:tcPr>
            <w:tcW w:w="939"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Коэффициенты</w:t>
            </w:r>
          </w:p>
        </w:tc>
        <w:tc>
          <w:tcPr>
            <w:tcW w:w="1230"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Стандартная ошибка</w:t>
            </w:r>
          </w:p>
        </w:tc>
        <w:tc>
          <w:tcPr>
            <w:tcW w:w="813"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t-статистика</w:t>
            </w:r>
          </w:p>
        </w:tc>
        <w:tc>
          <w:tcPr>
            <w:tcW w:w="1101" w:type="pct"/>
            <w:shd w:val="clear" w:color="auto" w:fill="auto"/>
            <w:noWrap/>
            <w:vAlign w:val="center"/>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P-Значение</w:t>
            </w:r>
          </w:p>
        </w:tc>
      </w:tr>
      <w:tr w:rsidR="00C26CE5" w:rsidRPr="00BA321C" w:rsidTr="00787E5A">
        <w:trPr>
          <w:trHeight w:val="300"/>
        </w:trPr>
        <w:tc>
          <w:tcPr>
            <w:tcW w:w="917"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Y-пересечение</w:t>
            </w:r>
          </w:p>
        </w:tc>
        <w:tc>
          <w:tcPr>
            <w:tcW w:w="939" w:type="pct"/>
            <w:shd w:val="clear" w:color="auto" w:fill="auto"/>
            <w:noWrap/>
            <w:vAlign w:val="bottom"/>
            <w:hideMark/>
          </w:tcPr>
          <w:p w:rsidR="00C26CE5" w:rsidRPr="00BA321C" w:rsidRDefault="009E5C08"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73,254658</w:t>
            </w:r>
          </w:p>
        </w:tc>
        <w:tc>
          <w:tcPr>
            <w:tcW w:w="1230"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0,156449569</w:t>
            </w:r>
          </w:p>
        </w:tc>
        <w:tc>
          <w:tcPr>
            <w:tcW w:w="813"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-10,79438289</w:t>
            </w:r>
          </w:p>
        </w:tc>
        <w:tc>
          <w:tcPr>
            <w:tcW w:w="1101"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1,81134E-08</w:t>
            </w:r>
          </w:p>
        </w:tc>
      </w:tr>
      <w:tr w:rsidR="00C26CE5" w:rsidRPr="00BA321C" w:rsidTr="00787E5A">
        <w:trPr>
          <w:trHeight w:val="300"/>
        </w:trPr>
        <w:tc>
          <w:tcPr>
            <w:tcW w:w="917"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f1</w:t>
            </w:r>
          </w:p>
        </w:tc>
        <w:tc>
          <w:tcPr>
            <w:tcW w:w="939" w:type="pct"/>
            <w:shd w:val="clear" w:color="auto" w:fill="auto"/>
            <w:noWrap/>
            <w:vAlign w:val="bottom"/>
            <w:hideMark/>
          </w:tcPr>
          <w:p w:rsidR="00C26CE5" w:rsidRPr="00BA321C" w:rsidRDefault="009E5C08"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0,321202</w:t>
            </w:r>
          </w:p>
        </w:tc>
        <w:tc>
          <w:tcPr>
            <w:tcW w:w="1230"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0,110721997</w:t>
            </w:r>
          </w:p>
        </w:tc>
        <w:tc>
          <w:tcPr>
            <w:tcW w:w="813"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11,83832971</w:t>
            </w:r>
          </w:p>
        </w:tc>
        <w:tc>
          <w:tcPr>
            <w:tcW w:w="1101"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5,20203E-09</w:t>
            </w:r>
          </w:p>
        </w:tc>
      </w:tr>
      <w:tr w:rsidR="00C26CE5" w:rsidRPr="00BA321C" w:rsidTr="00787E5A">
        <w:trPr>
          <w:trHeight w:val="300"/>
        </w:trPr>
        <w:tc>
          <w:tcPr>
            <w:tcW w:w="917" w:type="pct"/>
            <w:shd w:val="clear" w:color="auto" w:fill="auto"/>
            <w:noWrap/>
            <w:vAlign w:val="bottom"/>
            <w:hideMark/>
          </w:tcPr>
          <w:p w:rsidR="00C26CE5" w:rsidRPr="00BA321C" w:rsidRDefault="00C26CE5"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Свод. индекс</w:t>
            </w:r>
          </w:p>
        </w:tc>
        <w:tc>
          <w:tcPr>
            <w:tcW w:w="939" w:type="pct"/>
            <w:shd w:val="clear" w:color="auto" w:fill="auto"/>
            <w:noWrap/>
            <w:vAlign w:val="bottom"/>
            <w:hideMark/>
          </w:tcPr>
          <w:p w:rsidR="00C26CE5" w:rsidRPr="00BA321C" w:rsidRDefault="009E5C08"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0,3984125</w:t>
            </w:r>
          </w:p>
        </w:tc>
        <w:tc>
          <w:tcPr>
            <w:tcW w:w="1230"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0,17177273</w:t>
            </w:r>
          </w:p>
        </w:tc>
        <w:tc>
          <w:tcPr>
            <w:tcW w:w="813"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13,63712801</w:t>
            </w:r>
          </w:p>
        </w:tc>
        <w:tc>
          <w:tcPr>
            <w:tcW w:w="1101" w:type="pct"/>
            <w:shd w:val="clear" w:color="auto" w:fill="auto"/>
            <w:noWrap/>
            <w:vAlign w:val="bottom"/>
            <w:hideMark/>
          </w:tcPr>
          <w:p w:rsidR="00C26CE5" w:rsidRPr="00BA321C" w:rsidRDefault="00C26CE5"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7,39002E-10</w:t>
            </w:r>
          </w:p>
        </w:tc>
      </w:tr>
    </w:tbl>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Точность и достоверность полученных результатов наглядно подтверждается практически полным совпадением предсказанных с помощью модели значений</w:t>
      </w:r>
      <w:r w:rsidR="002A191E" w:rsidRPr="00BA321C">
        <w:rPr>
          <w:rFonts w:ascii="Times New Roman" w:hAnsi="Times New Roman"/>
          <w:sz w:val="28"/>
          <w:szCs w:val="28"/>
        </w:rPr>
        <w:t xml:space="preserve"> темпов роста</w:t>
      </w:r>
      <w:r w:rsidRPr="00BA321C">
        <w:rPr>
          <w:rFonts w:ascii="Times New Roman" w:hAnsi="Times New Roman"/>
          <w:sz w:val="28"/>
          <w:szCs w:val="28"/>
        </w:rPr>
        <w:t xml:space="preserve"> </w:t>
      </w:r>
      <w:r w:rsidR="009E5C08" w:rsidRPr="00BA321C">
        <w:rPr>
          <w:rFonts w:ascii="Times New Roman" w:hAnsi="Times New Roman"/>
          <w:sz w:val="28"/>
          <w:szCs w:val="28"/>
        </w:rPr>
        <w:t>ВРП</w:t>
      </w:r>
      <w:r w:rsidRPr="00BA321C">
        <w:rPr>
          <w:rFonts w:ascii="Times New Roman" w:hAnsi="Times New Roman"/>
          <w:sz w:val="28"/>
          <w:szCs w:val="28"/>
        </w:rPr>
        <w:t xml:space="preserve"> и их фактическим уровнем (рисунок </w:t>
      </w:r>
      <w:r w:rsidR="002A191E" w:rsidRPr="00BA321C">
        <w:rPr>
          <w:rFonts w:ascii="Times New Roman" w:hAnsi="Times New Roman"/>
          <w:sz w:val="28"/>
          <w:szCs w:val="28"/>
        </w:rPr>
        <w:t>3.1.1</w:t>
      </w:r>
      <w:r w:rsidRPr="00BA321C">
        <w:rPr>
          <w:rFonts w:ascii="Times New Roman" w:hAnsi="Times New Roman"/>
          <w:sz w:val="28"/>
          <w:szCs w:val="28"/>
        </w:rPr>
        <w:t>).</w:t>
      </w:r>
    </w:p>
    <w:p w:rsidR="00446541" w:rsidRPr="00BA321C" w:rsidRDefault="00446541" w:rsidP="00BA321C">
      <w:pPr>
        <w:shd w:val="clear" w:color="auto" w:fill="FFFFFF" w:themeFill="background1"/>
        <w:spacing w:after="0" w:line="360" w:lineRule="auto"/>
        <w:jc w:val="center"/>
        <w:rPr>
          <w:rFonts w:ascii="Times New Roman" w:hAnsi="Times New Roman"/>
          <w:sz w:val="28"/>
          <w:szCs w:val="28"/>
        </w:rPr>
      </w:pPr>
    </w:p>
    <w:p w:rsidR="00446541" w:rsidRPr="00BA321C" w:rsidRDefault="00F02869"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noProof/>
          <w:sz w:val="28"/>
          <w:szCs w:val="28"/>
          <w:lang w:eastAsia="ru-RU"/>
        </w:rPr>
        <w:lastRenderedPageBreak/>
        <w:drawing>
          <wp:inline distT="0" distB="0" distL="0" distR="0" wp14:anchorId="146CA58D" wp14:editId="2717C999">
            <wp:extent cx="5252720" cy="2740025"/>
            <wp:effectExtent l="0" t="0" r="5080" b="3175"/>
            <wp:docPr id="30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26CE5" w:rsidRPr="00BA321C" w:rsidRDefault="00C26CE5"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Рисунок </w:t>
      </w:r>
      <w:r w:rsidR="002A191E" w:rsidRPr="00BA321C">
        <w:rPr>
          <w:rFonts w:ascii="Times New Roman" w:hAnsi="Times New Roman"/>
          <w:sz w:val="28"/>
          <w:szCs w:val="28"/>
        </w:rPr>
        <w:t>3.1.1</w:t>
      </w:r>
      <w:r w:rsidRPr="00BA321C">
        <w:rPr>
          <w:rFonts w:ascii="Times New Roman" w:hAnsi="Times New Roman"/>
          <w:sz w:val="28"/>
          <w:szCs w:val="28"/>
        </w:rPr>
        <w:t xml:space="preserve"> – Результаты соотношения предсказанных с помощью модели нормированных значений ИПП и их фактическим уровнем</w:t>
      </w: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p>
    <w:p w:rsidR="00C26CE5"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Результаты эконометрического моделирования позволили получить довольно предсказуемые, в рамках выдвинутых выше гипотез и предположени</w:t>
      </w:r>
      <w:bookmarkStart w:id="12" w:name="_GoBack"/>
      <w:bookmarkEnd w:id="12"/>
      <w:r w:rsidRPr="00BA321C">
        <w:rPr>
          <w:rFonts w:ascii="Times New Roman" w:hAnsi="Times New Roman"/>
          <w:sz w:val="28"/>
          <w:szCs w:val="28"/>
        </w:rPr>
        <w:t xml:space="preserve">й, результаты. С ростом индекса </w:t>
      </w:r>
      <w:r w:rsidR="00446541" w:rsidRPr="00BA321C">
        <w:rPr>
          <w:rFonts w:ascii="Times New Roman" w:hAnsi="Times New Roman"/>
          <w:sz w:val="28"/>
          <w:szCs w:val="28"/>
        </w:rPr>
        <w:t>СЭП</w:t>
      </w:r>
      <w:r w:rsidRPr="00BA321C">
        <w:rPr>
          <w:rFonts w:ascii="Times New Roman" w:hAnsi="Times New Roman"/>
          <w:sz w:val="28"/>
          <w:szCs w:val="28"/>
        </w:rPr>
        <w:t xml:space="preserve"> на один пункт значение </w:t>
      </w:r>
      <w:r w:rsidR="002A191E" w:rsidRPr="00BA321C">
        <w:rPr>
          <w:rFonts w:ascii="Times New Roman" w:hAnsi="Times New Roman"/>
          <w:sz w:val="28"/>
          <w:szCs w:val="28"/>
        </w:rPr>
        <w:t xml:space="preserve">темпов роста ВРП </w:t>
      </w:r>
      <w:r w:rsidRPr="00BA321C">
        <w:rPr>
          <w:rFonts w:ascii="Times New Roman" w:hAnsi="Times New Roman"/>
          <w:sz w:val="28"/>
          <w:szCs w:val="28"/>
        </w:rPr>
        <w:t xml:space="preserve">возрастает на </w:t>
      </w:r>
      <w:r w:rsidR="00446541" w:rsidRPr="00BA321C">
        <w:rPr>
          <w:rFonts w:ascii="Times New Roman" w:hAnsi="Times New Roman"/>
          <w:sz w:val="28"/>
          <w:szCs w:val="28"/>
        </w:rPr>
        <w:t>0</w:t>
      </w:r>
      <w:r w:rsidRPr="00BA321C">
        <w:rPr>
          <w:rFonts w:ascii="Times New Roman" w:hAnsi="Times New Roman"/>
          <w:sz w:val="28"/>
          <w:szCs w:val="28"/>
        </w:rPr>
        <w:t xml:space="preserve">,34 </w:t>
      </w:r>
      <w:r w:rsidR="00446541" w:rsidRPr="00BA321C">
        <w:rPr>
          <w:rFonts w:ascii="Times New Roman" w:hAnsi="Times New Roman"/>
          <w:sz w:val="28"/>
          <w:szCs w:val="28"/>
        </w:rPr>
        <w:t>процентных пункта</w:t>
      </w:r>
      <w:r w:rsidRPr="00BA321C">
        <w:rPr>
          <w:rFonts w:ascii="Times New Roman" w:hAnsi="Times New Roman"/>
          <w:sz w:val="28"/>
          <w:szCs w:val="28"/>
        </w:rPr>
        <w:t xml:space="preserve">. Таким образом это подтверждает </w:t>
      </w:r>
      <w:r w:rsidR="00446541" w:rsidRPr="00BA321C">
        <w:rPr>
          <w:rFonts w:ascii="Times New Roman" w:hAnsi="Times New Roman"/>
          <w:sz w:val="28"/>
          <w:szCs w:val="28"/>
        </w:rPr>
        <w:t>значительный</w:t>
      </w:r>
      <w:r w:rsidRPr="00BA321C">
        <w:rPr>
          <w:rFonts w:ascii="Times New Roman" w:hAnsi="Times New Roman"/>
          <w:sz w:val="28"/>
          <w:szCs w:val="28"/>
        </w:rPr>
        <w:t xml:space="preserve"> уровень эластичности между двумя рассматриваемыми индикаторами. То есть изменения в </w:t>
      </w:r>
      <w:r w:rsidR="00446541" w:rsidRPr="00BA321C">
        <w:rPr>
          <w:rFonts w:ascii="Times New Roman" w:hAnsi="Times New Roman"/>
          <w:sz w:val="28"/>
          <w:szCs w:val="28"/>
        </w:rPr>
        <w:t>индексе СЭП</w:t>
      </w:r>
      <w:r w:rsidRPr="00BA321C">
        <w:rPr>
          <w:rFonts w:ascii="Times New Roman" w:hAnsi="Times New Roman"/>
          <w:sz w:val="28"/>
          <w:szCs w:val="28"/>
        </w:rPr>
        <w:t xml:space="preserve"> формируют </w:t>
      </w:r>
      <w:r w:rsidR="00446541" w:rsidRPr="00BA321C">
        <w:rPr>
          <w:rFonts w:ascii="Times New Roman" w:hAnsi="Times New Roman"/>
          <w:sz w:val="28"/>
          <w:szCs w:val="28"/>
        </w:rPr>
        <w:t>заметную</w:t>
      </w:r>
      <w:r w:rsidRPr="00BA321C">
        <w:rPr>
          <w:rFonts w:ascii="Times New Roman" w:hAnsi="Times New Roman"/>
          <w:sz w:val="28"/>
          <w:szCs w:val="28"/>
        </w:rPr>
        <w:t xml:space="preserve"> реакцию в генерировании экономических процессов, выражающихся в соответствующей волатильности </w:t>
      </w:r>
      <w:r w:rsidR="00446541" w:rsidRPr="00BA321C">
        <w:rPr>
          <w:rFonts w:ascii="Times New Roman" w:hAnsi="Times New Roman"/>
          <w:sz w:val="28"/>
          <w:szCs w:val="28"/>
        </w:rPr>
        <w:t>создаваемого конечного продукта</w:t>
      </w:r>
      <w:r w:rsidRPr="00BA321C">
        <w:rPr>
          <w:rFonts w:ascii="Times New Roman" w:hAnsi="Times New Roman"/>
          <w:sz w:val="28"/>
          <w:szCs w:val="28"/>
        </w:rPr>
        <w:t xml:space="preserve">. </w:t>
      </w:r>
    </w:p>
    <w:p w:rsidR="00C26CE5" w:rsidRPr="00BA321C" w:rsidRDefault="009E6843"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Аналогичный анализ был проведен в разрезе субиндексов, формирующих динамические значения интегральных показателей СЭП. Результаты </w:t>
      </w:r>
      <w:r w:rsidR="00537F81" w:rsidRPr="00BA321C">
        <w:rPr>
          <w:rFonts w:ascii="Times New Roman" w:hAnsi="Times New Roman"/>
          <w:sz w:val="28"/>
          <w:szCs w:val="28"/>
        </w:rPr>
        <w:t xml:space="preserve">полученных оценок в разрезе регионов ПФО </w:t>
      </w:r>
      <w:r w:rsidRPr="00BA321C">
        <w:rPr>
          <w:rFonts w:ascii="Times New Roman" w:hAnsi="Times New Roman"/>
          <w:sz w:val="28"/>
          <w:szCs w:val="28"/>
        </w:rPr>
        <w:t xml:space="preserve">представлены в таблице </w:t>
      </w:r>
      <w:r w:rsidR="00E0713A" w:rsidRPr="00BA321C">
        <w:rPr>
          <w:rFonts w:ascii="Times New Roman" w:hAnsi="Times New Roman"/>
          <w:sz w:val="28"/>
          <w:szCs w:val="28"/>
        </w:rPr>
        <w:t>3.1.5</w:t>
      </w:r>
      <w:r w:rsidR="00537F81" w:rsidRPr="00BA321C">
        <w:rPr>
          <w:rFonts w:ascii="Times New Roman" w:hAnsi="Times New Roman"/>
          <w:sz w:val="28"/>
          <w:szCs w:val="28"/>
        </w:rPr>
        <w:t>.</w:t>
      </w:r>
    </w:p>
    <w:p w:rsidR="00537F81" w:rsidRPr="00BA321C" w:rsidRDefault="00537F81" w:rsidP="00BA321C">
      <w:pPr>
        <w:shd w:val="clear" w:color="auto" w:fill="FFFFFF" w:themeFill="background1"/>
        <w:spacing w:after="0" w:line="360" w:lineRule="auto"/>
        <w:ind w:firstLine="851"/>
        <w:jc w:val="both"/>
        <w:rPr>
          <w:rFonts w:ascii="Times New Roman" w:hAnsi="Times New Roman"/>
          <w:sz w:val="28"/>
          <w:szCs w:val="28"/>
        </w:rPr>
      </w:pPr>
    </w:p>
    <w:p w:rsidR="0002452E" w:rsidRPr="00BA321C" w:rsidRDefault="0002452E" w:rsidP="00BA321C">
      <w:pPr>
        <w:shd w:val="clear" w:color="auto" w:fill="FFFFFF" w:themeFill="background1"/>
        <w:spacing w:after="0" w:line="360" w:lineRule="auto"/>
        <w:ind w:firstLine="851"/>
        <w:jc w:val="both"/>
        <w:rPr>
          <w:rFonts w:ascii="Times New Roman" w:hAnsi="Times New Roman"/>
          <w:sz w:val="28"/>
          <w:szCs w:val="28"/>
        </w:rPr>
      </w:pPr>
    </w:p>
    <w:p w:rsidR="00E0713A" w:rsidRPr="00BA321C" w:rsidRDefault="00E0713A" w:rsidP="00BA321C">
      <w:pPr>
        <w:shd w:val="clear" w:color="auto" w:fill="FFFFFF" w:themeFill="background1"/>
        <w:spacing w:after="0" w:line="360" w:lineRule="auto"/>
        <w:ind w:firstLine="851"/>
        <w:jc w:val="both"/>
        <w:rPr>
          <w:rFonts w:ascii="Times New Roman" w:hAnsi="Times New Roman"/>
          <w:sz w:val="28"/>
          <w:szCs w:val="28"/>
        </w:rPr>
      </w:pPr>
    </w:p>
    <w:p w:rsidR="00E0713A" w:rsidRPr="00BA321C" w:rsidRDefault="00E0713A" w:rsidP="00BA321C">
      <w:pPr>
        <w:shd w:val="clear" w:color="auto" w:fill="FFFFFF" w:themeFill="background1"/>
        <w:spacing w:after="0" w:line="360" w:lineRule="auto"/>
        <w:ind w:firstLine="851"/>
        <w:jc w:val="both"/>
        <w:rPr>
          <w:rFonts w:ascii="Times New Roman" w:hAnsi="Times New Roman"/>
          <w:sz w:val="28"/>
          <w:szCs w:val="28"/>
        </w:rPr>
      </w:pPr>
    </w:p>
    <w:p w:rsidR="00537F81" w:rsidRPr="00BA321C" w:rsidRDefault="00537F81"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Таблица </w:t>
      </w:r>
      <w:r w:rsidR="00E0713A" w:rsidRPr="00BA321C">
        <w:rPr>
          <w:rFonts w:ascii="Times New Roman" w:hAnsi="Times New Roman"/>
          <w:sz w:val="28"/>
          <w:szCs w:val="28"/>
        </w:rPr>
        <w:t>3.1.5</w:t>
      </w:r>
      <w:r w:rsidRPr="00BA321C">
        <w:rPr>
          <w:rFonts w:ascii="Times New Roman" w:hAnsi="Times New Roman"/>
          <w:sz w:val="28"/>
          <w:szCs w:val="28"/>
        </w:rPr>
        <w:t xml:space="preserve"> </w:t>
      </w:r>
      <w:r w:rsidR="0002452E" w:rsidRPr="00BA321C">
        <w:rPr>
          <w:rFonts w:ascii="Times New Roman" w:hAnsi="Times New Roman"/>
          <w:sz w:val="28"/>
          <w:szCs w:val="28"/>
        </w:rPr>
        <w:t>–</w:t>
      </w:r>
      <w:r w:rsidRPr="00BA321C">
        <w:rPr>
          <w:rFonts w:ascii="Times New Roman" w:hAnsi="Times New Roman"/>
          <w:sz w:val="28"/>
          <w:szCs w:val="28"/>
        </w:rPr>
        <w:t xml:space="preserve"> </w:t>
      </w:r>
      <w:r w:rsidR="0002452E" w:rsidRPr="00BA321C">
        <w:rPr>
          <w:rFonts w:ascii="Times New Roman" w:hAnsi="Times New Roman"/>
          <w:sz w:val="28"/>
          <w:szCs w:val="28"/>
        </w:rPr>
        <w:t>Влияние социального, экономического и институционального потенциалов регионов на развитие ВРП, в концентрированном виде отражающем эффективность развития производительных сил</w:t>
      </w:r>
      <w:r w:rsidR="00577229" w:rsidRPr="00BA321C">
        <w:rPr>
          <w:rFonts w:ascii="Times New Roman" w:hAnsi="Times New Roman"/>
          <w:sz w:val="28"/>
          <w:szCs w:val="28"/>
        </w:rPr>
        <w:t xml:space="preserve"> </w:t>
      </w:r>
    </w:p>
    <w:tbl>
      <w:tblPr>
        <w:tblStyle w:val="af9"/>
        <w:tblW w:w="9464" w:type="dxa"/>
        <w:tblLayout w:type="fixed"/>
        <w:tblLook w:val="04A0" w:firstRow="1" w:lastRow="0" w:firstColumn="1" w:lastColumn="0" w:noHBand="0" w:noVBand="1"/>
      </w:tblPr>
      <w:tblGrid>
        <w:gridCol w:w="534"/>
        <w:gridCol w:w="1984"/>
        <w:gridCol w:w="1891"/>
        <w:gridCol w:w="1674"/>
        <w:gridCol w:w="1680"/>
        <w:gridCol w:w="1701"/>
      </w:tblGrid>
      <w:tr w:rsidR="0002452E" w:rsidRPr="00BA321C" w:rsidTr="005C4E03">
        <w:tc>
          <w:tcPr>
            <w:tcW w:w="534" w:type="dxa"/>
            <w:vAlign w:val="center"/>
          </w:tcPr>
          <w:p w:rsidR="0002452E" w:rsidRPr="00BA321C" w:rsidRDefault="0002452E"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w:t>
            </w:r>
          </w:p>
        </w:tc>
        <w:tc>
          <w:tcPr>
            <w:tcW w:w="1984" w:type="dxa"/>
            <w:vAlign w:val="center"/>
          </w:tcPr>
          <w:p w:rsidR="0002452E" w:rsidRPr="00BA321C" w:rsidRDefault="0002452E"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Регион</w:t>
            </w:r>
          </w:p>
        </w:tc>
        <w:tc>
          <w:tcPr>
            <w:tcW w:w="1891" w:type="dxa"/>
            <w:vAlign w:val="center"/>
          </w:tcPr>
          <w:p w:rsidR="0002452E" w:rsidRPr="00BA321C" w:rsidRDefault="0002452E"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I1 - Субиндекс экономического развития</w:t>
            </w:r>
          </w:p>
        </w:tc>
        <w:tc>
          <w:tcPr>
            <w:tcW w:w="1674" w:type="dxa"/>
            <w:vAlign w:val="center"/>
          </w:tcPr>
          <w:p w:rsidR="0002452E" w:rsidRPr="00BA321C" w:rsidRDefault="0002452E"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I2 - Субиндекс социального развития</w:t>
            </w:r>
          </w:p>
        </w:tc>
        <w:tc>
          <w:tcPr>
            <w:tcW w:w="1680" w:type="dxa"/>
            <w:vAlign w:val="center"/>
          </w:tcPr>
          <w:p w:rsidR="0002452E" w:rsidRPr="00BA321C" w:rsidRDefault="0002452E"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I3 - Субиндекс институционального развития</w:t>
            </w:r>
          </w:p>
        </w:tc>
        <w:tc>
          <w:tcPr>
            <w:tcW w:w="1701" w:type="dxa"/>
            <w:vAlign w:val="center"/>
          </w:tcPr>
          <w:p w:rsidR="0002452E" w:rsidRPr="00BA321C" w:rsidRDefault="005C4E03"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val="en-US" w:eastAsia="ru-RU"/>
              </w:rPr>
              <w:t>I</w:t>
            </w:r>
            <w:r w:rsidRPr="00BA321C">
              <w:rPr>
                <w:rFonts w:ascii="Times New Roman" w:eastAsia="Times New Roman" w:hAnsi="Times New Roman"/>
                <w:sz w:val="24"/>
                <w:szCs w:val="28"/>
                <w:lang w:eastAsia="ru-RU"/>
              </w:rPr>
              <w:t>интегр.</w:t>
            </w:r>
          </w:p>
        </w:tc>
      </w:tr>
      <w:tr w:rsidR="005C4E03" w:rsidRPr="00BA321C" w:rsidTr="00452F5C">
        <w:tc>
          <w:tcPr>
            <w:tcW w:w="534" w:type="dxa"/>
          </w:tcPr>
          <w:p w:rsidR="005C4E03" w:rsidRPr="00BA321C" w:rsidRDefault="005C4E03" w:rsidP="00BA321C">
            <w:pPr>
              <w:shd w:val="clear" w:color="auto" w:fill="FFFFFF" w:themeFill="background1"/>
              <w:spacing w:after="0" w:line="360" w:lineRule="auto"/>
              <w:jc w:val="both"/>
              <w:rPr>
                <w:rFonts w:ascii="Times New Roman" w:hAnsi="Times New Roman"/>
                <w:sz w:val="24"/>
                <w:szCs w:val="28"/>
              </w:rPr>
            </w:pPr>
            <w:r w:rsidRPr="00BA321C">
              <w:rPr>
                <w:rFonts w:ascii="Times New Roman" w:hAnsi="Times New Roman"/>
                <w:sz w:val="24"/>
                <w:szCs w:val="28"/>
              </w:rPr>
              <w:t>1</w:t>
            </w:r>
          </w:p>
        </w:tc>
        <w:tc>
          <w:tcPr>
            <w:tcW w:w="1984" w:type="dxa"/>
            <w:vAlign w:val="center"/>
          </w:tcPr>
          <w:p w:rsidR="005C4E03" w:rsidRPr="00BA321C" w:rsidRDefault="005C4E03" w:rsidP="00BA321C">
            <w:pPr>
              <w:shd w:val="clear" w:color="auto" w:fill="FFFFFF" w:themeFill="background1"/>
              <w:spacing w:after="0" w:line="360" w:lineRule="auto"/>
              <w:jc w:val="center"/>
              <w:rPr>
                <w:rFonts w:ascii="Times New Roman" w:hAnsi="Times New Roman"/>
                <w:sz w:val="24"/>
                <w:szCs w:val="28"/>
                <w:lang w:eastAsia="ru-RU"/>
              </w:rPr>
            </w:pPr>
            <w:r w:rsidRPr="00BA321C">
              <w:rPr>
                <w:rFonts w:ascii="Times New Roman" w:hAnsi="Times New Roman"/>
                <w:sz w:val="24"/>
                <w:szCs w:val="28"/>
              </w:rPr>
              <w:t>Республика Татарстан</w:t>
            </w:r>
            <w:r w:rsidR="00452F5C" w:rsidRPr="00BA321C">
              <w:rPr>
                <w:rFonts w:ascii="Times New Roman" w:hAnsi="Times New Roman"/>
                <w:sz w:val="24"/>
                <w:szCs w:val="28"/>
              </w:rPr>
              <w:t xml:space="preserve"> (Кластер 1)</w:t>
            </w:r>
          </w:p>
        </w:tc>
        <w:tc>
          <w:tcPr>
            <w:tcW w:w="1891"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2</w:t>
            </w:r>
            <w:r w:rsidR="00E0713A" w:rsidRPr="00BA321C">
              <w:rPr>
                <w:rFonts w:ascii="Times New Roman" w:hAnsi="Times New Roman"/>
                <w:sz w:val="24"/>
                <w:szCs w:val="28"/>
              </w:rPr>
              <w:t>7</w:t>
            </w:r>
          </w:p>
        </w:tc>
        <w:tc>
          <w:tcPr>
            <w:tcW w:w="1674"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0,0</w:t>
            </w:r>
            <w:r w:rsidR="00F7587C" w:rsidRPr="00BA321C">
              <w:rPr>
                <w:rFonts w:ascii="Times New Roman" w:hAnsi="Times New Roman"/>
                <w:sz w:val="24"/>
                <w:szCs w:val="28"/>
              </w:rPr>
              <w:t>6</w:t>
            </w:r>
          </w:p>
        </w:tc>
        <w:tc>
          <w:tcPr>
            <w:tcW w:w="1680"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0,16</w:t>
            </w:r>
          </w:p>
        </w:tc>
        <w:tc>
          <w:tcPr>
            <w:tcW w:w="1701" w:type="dxa"/>
            <w:vAlign w:val="center"/>
          </w:tcPr>
          <w:p w:rsidR="005C4E03" w:rsidRPr="00BA321C" w:rsidRDefault="005C4E03"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40</w:t>
            </w:r>
          </w:p>
        </w:tc>
      </w:tr>
      <w:tr w:rsidR="005C4E03" w:rsidRPr="00BA321C" w:rsidTr="00452F5C">
        <w:tc>
          <w:tcPr>
            <w:tcW w:w="534" w:type="dxa"/>
          </w:tcPr>
          <w:p w:rsidR="005C4E03" w:rsidRPr="00BA321C" w:rsidRDefault="00452F5C" w:rsidP="00BA321C">
            <w:pPr>
              <w:shd w:val="clear" w:color="auto" w:fill="FFFFFF" w:themeFill="background1"/>
              <w:spacing w:after="0" w:line="360" w:lineRule="auto"/>
              <w:jc w:val="both"/>
              <w:rPr>
                <w:rFonts w:ascii="Times New Roman" w:hAnsi="Times New Roman"/>
                <w:sz w:val="24"/>
                <w:szCs w:val="28"/>
              </w:rPr>
            </w:pPr>
            <w:r w:rsidRPr="00BA321C">
              <w:rPr>
                <w:rFonts w:ascii="Times New Roman" w:hAnsi="Times New Roman"/>
                <w:sz w:val="24"/>
                <w:szCs w:val="28"/>
              </w:rPr>
              <w:t>2</w:t>
            </w:r>
          </w:p>
        </w:tc>
        <w:tc>
          <w:tcPr>
            <w:tcW w:w="1984" w:type="dxa"/>
            <w:vAlign w:val="center"/>
          </w:tcPr>
          <w:p w:rsidR="005C4E03" w:rsidRPr="00BA321C" w:rsidRDefault="005C4E03"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Республика Мордовия</w:t>
            </w:r>
            <w:r w:rsidR="00452F5C" w:rsidRPr="00BA321C">
              <w:rPr>
                <w:rFonts w:ascii="Times New Roman" w:hAnsi="Times New Roman"/>
                <w:sz w:val="24"/>
                <w:szCs w:val="28"/>
              </w:rPr>
              <w:t xml:space="preserve"> (Кластер 2)</w:t>
            </w:r>
          </w:p>
        </w:tc>
        <w:tc>
          <w:tcPr>
            <w:tcW w:w="1891"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0,12</w:t>
            </w:r>
          </w:p>
        </w:tc>
        <w:tc>
          <w:tcPr>
            <w:tcW w:w="1674"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08</w:t>
            </w:r>
          </w:p>
        </w:tc>
        <w:tc>
          <w:tcPr>
            <w:tcW w:w="1680"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06</w:t>
            </w:r>
          </w:p>
        </w:tc>
        <w:tc>
          <w:tcPr>
            <w:tcW w:w="1701" w:type="dxa"/>
            <w:vAlign w:val="center"/>
          </w:tcPr>
          <w:p w:rsidR="005C4E03" w:rsidRPr="00BA321C" w:rsidRDefault="005C4E03"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26</w:t>
            </w:r>
          </w:p>
        </w:tc>
      </w:tr>
      <w:tr w:rsidR="005C4E03" w:rsidRPr="00BA321C" w:rsidTr="00452F5C">
        <w:tc>
          <w:tcPr>
            <w:tcW w:w="534" w:type="dxa"/>
          </w:tcPr>
          <w:p w:rsidR="005C4E03" w:rsidRPr="00BA321C" w:rsidRDefault="00452F5C" w:rsidP="00BA321C">
            <w:pPr>
              <w:shd w:val="clear" w:color="auto" w:fill="FFFFFF" w:themeFill="background1"/>
              <w:spacing w:after="0" w:line="360" w:lineRule="auto"/>
              <w:jc w:val="both"/>
              <w:rPr>
                <w:rFonts w:ascii="Times New Roman" w:hAnsi="Times New Roman"/>
                <w:sz w:val="24"/>
                <w:szCs w:val="28"/>
              </w:rPr>
            </w:pPr>
            <w:r w:rsidRPr="00BA321C">
              <w:rPr>
                <w:rFonts w:ascii="Times New Roman" w:hAnsi="Times New Roman"/>
                <w:sz w:val="24"/>
                <w:szCs w:val="28"/>
              </w:rPr>
              <w:t>3</w:t>
            </w:r>
          </w:p>
        </w:tc>
        <w:tc>
          <w:tcPr>
            <w:tcW w:w="1984" w:type="dxa"/>
            <w:vAlign w:val="center"/>
          </w:tcPr>
          <w:p w:rsidR="00452F5C" w:rsidRPr="00BA321C" w:rsidRDefault="005C4E03"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Ульяновская область</w:t>
            </w:r>
            <w:r w:rsidR="00452F5C" w:rsidRPr="00BA321C">
              <w:rPr>
                <w:rFonts w:ascii="Times New Roman" w:hAnsi="Times New Roman"/>
                <w:sz w:val="24"/>
                <w:szCs w:val="28"/>
              </w:rPr>
              <w:t xml:space="preserve"> </w:t>
            </w:r>
          </w:p>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(Кластер 3)</w:t>
            </w:r>
          </w:p>
        </w:tc>
        <w:tc>
          <w:tcPr>
            <w:tcW w:w="1891"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09</w:t>
            </w:r>
          </w:p>
        </w:tc>
        <w:tc>
          <w:tcPr>
            <w:tcW w:w="1674"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0,0</w:t>
            </w:r>
            <w:r w:rsidR="00F7587C" w:rsidRPr="00BA321C">
              <w:rPr>
                <w:rFonts w:ascii="Times New Roman" w:hAnsi="Times New Roman"/>
                <w:sz w:val="24"/>
                <w:szCs w:val="28"/>
              </w:rPr>
              <w:t>7</w:t>
            </w:r>
          </w:p>
        </w:tc>
        <w:tc>
          <w:tcPr>
            <w:tcW w:w="1680" w:type="dxa"/>
            <w:vAlign w:val="center"/>
          </w:tcPr>
          <w:p w:rsidR="005C4E03" w:rsidRPr="00BA321C" w:rsidRDefault="00452F5C"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F7587C" w:rsidRPr="00BA321C">
              <w:rPr>
                <w:rFonts w:ascii="Times New Roman" w:hAnsi="Times New Roman"/>
                <w:sz w:val="24"/>
                <w:szCs w:val="28"/>
              </w:rPr>
              <w:t>05</w:t>
            </w:r>
          </w:p>
        </w:tc>
        <w:tc>
          <w:tcPr>
            <w:tcW w:w="1701" w:type="dxa"/>
            <w:vAlign w:val="center"/>
          </w:tcPr>
          <w:p w:rsidR="005C4E03" w:rsidRPr="00BA321C" w:rsidRDefault="005C4E03" w:rsidP="00BA321C">
            <w:pPr>
              <w:shd w:val="clear" w:color="auto" w:fill="FFFFFF" w:themeFill="background1"/>
              <w:spacing w:after="0" w:line="360" w:lineRule="auto"/>
              <w:jc w:val="center"/>
              <w:rPr>
                <w:rFonts w:ascii="Times New Roman" w:hAnsi="Times New Roman"/>
                <w:sz w:val="24"/>
                <w:szCs w:val="28"/>
              </w:rPr>
            </w:pPr>
            <w:r w:rsidRPr="00BA321C">
              <w:rPr>
                <w:rFonts w:ascii="Times New Roman" w:hAnsi="Times New Roman"/>
                <w:sz w:val="24"/>
                <w:szCs w:val="28"/>
              </w:rPr>
              <w:t>0,</w:t>
            </w:r>
            <w:r w:rsidR="00E0713A" w:rsidRPr="00BA321C">
              <w:rPr>
                <w:rFonts w:ascii="Times New Roman" w:hAnsi="Times New Roman"/>
                <w:sz w:val="24"/>
                <w:szCs w:val="28"/>
              </w:rPr>
              <w:t>2</w:t>
            </w:r>
            <w:r w:rsidR="00F7587C" w:rsidRPr="00BA321C">
              <w:rPr>
                <w:rFonts w:ascii="Times New Roman" w:hAnsi="Times New Roman"/>
                <w:sz w:val="24"/>
                <w:szCs w:val="28"/>
              </w:rPr>
              <w:t>1</w:t>
            </w:r>
          </w:p>
        </w:tc>
      </w:tr>
    </w:tbl>
    <w:p w:rsidR="00A7152E" w:rsidRPr="00BA321C" w:rsidRDefault="00A7152E" w:rsidP="00BA321C">
      <w:pPr>
        <w:shd w:val="clear" w:color="auto" w:fill="FFFFFF" w:themeFill="background1"/>
        <w:spacing w:after="0" w:line="360" w:lineRule="auto"/>
        <w:jc w:val="both"/>
        <w:rPr>
          <w:rFonts w:ascii="Times New Roman" w:hAnsi="Times New Roman"/>
          <w:sz w:val="28"/>
          <w:szCs w:val="28"/>
        </w:rPr>
      </w:pPr>
    </w:p>
    <w:p w:rsidR="00577229" w:rsidRPr="00BA321C" w:rsidRDefault="00C26CE5"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Таким образом полученные результаты </w:t>
      </w:r>
      <w:r w:rsidR="00577229" w:rsidRPr="00BA321C">
        <w:rPr>
          <w:rFonts w:ascii="Times New Roman" w:hAnsi="Times New Roman"/>
          <w:sz w:val="28"/>
          <w:szCs w:val="28"/>
        </w:rPr>
        <w:t>демонстрируют дифференцированный характер влияния рассматриваемой группы потенциалов на развитие региональных экономических систем</w:t>
      </w:r>
      <w:r w:rsidR="00E0713A" w:rsidRPr="00BA321C">
        <w:rPr>
          <w:rFonts w:ascii="Times New Roman" w:hAnsi="Times New Roman"/>
          <w:sz w:val="28"/>
          <w:szCs w:val="28"/>
        </w:rPr>
        <w:t>, характеризующихся различными характеристиками потенциалов</w:t>
      </w:r>
      <w:r w:rsidR="00577229" w:rsidRPr="00BA321C">
        <w:rPr>
          <w:rFonts w:ascii="Times New Roman" w:hAnsi="Times New Roman"/>
          <w:sz w:val="28"/>
          <w:szCs w:val="28"/>
        </w:rPr>
        <w:t>.</w:t>
      </w:r>
      <w:r w:rsidR="00FE5BD3" w:rsidRPr="00BA321C">
        <w:rPr>
          <w:rFonts w:ascii="Times New Roman" w:hAnsi="Times New Roman"/>
          <w:sz w:val="28"/>
          <w:szCs w:val="28"/>
        </w:rPr>
        <w:t xml:space="preserve"> При этом влияние общего уровня социально-экономической привлекательности регионов (</w:t>
      </w:r>
      <w:r w:rsidR="00FE5BD3" w:rsidRPr="00BA321C">
        <w:rPr>
          <w:rFonts w:ascii="Times New Roman" w:hAnsi="Times New Roman"/>
          <w:sz w:val="28"/>
          <w:szCs w:val="28"/>
          <w:lang w:val="en-US"/>
        </w:rPr>
        <w:t>I</w:t>
      </w:r>
      <w:r w:rsidR="00FE5BD3" w:rsidRPr="00BA321C">
        <w:rPr>
          <w:rFonts w:ascii="Times New Roman" w:hAnsi="Times New Roman"/>
          <w:sz w:val="28"/>
          <w:szCs w:val="28"/>
        </w:rPr>
        <w:t>интегр.) оказывается примерно одинаковым для регионов, представляющи</w:t>
      </w:r>
      <w:r w:rsidR="00567B0B" w:rsidRPr="00BA321C">
        <w:rPr>
          <w:rFonts w:ascii="Times New Roman" w:hAnsi="Times New Roman"/>
          <w:sz w:val="28"/>
          <w:szCs w:val="28"/>
        </w:rPr>
        <w:t>х</w:t>
      </w:r>
      <w:r w:rsidR="00FE5BD3" w:rsidRPr="00BA321C">
        <w:rPr>
          <w:rFonts w:ascii="Times New Roman" w:hAnsi="Times New Roman"/>
          <w:sz w:val="28"/>
          <w:szCs w:val="28"/>
        </w:rPr>
        <w:t xml:space="preserve"> выявленные кластеры.</w:t>
      </w:r>
    </w:p>
    <w:p w:rsidR="004C66ED" w:rsidRPr="00BA321C" w:rsidRDefault="00567B0B"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Реализованный подход позволяет перейти к разработке прогнозов развития региональных экономических систем на основе сценарного моделирования потенциалов, определяющих динамику социально-экономической привлекательности регионов. В</w:t>
      </w:r>
      <w:r w:rsidR="000145B4" w:rsidRPr="00BA321C">
        <w:rPr>
          <w:rFonts w:ascii="Times New Roman" w:hAnsi="Times New Roman"/>
          <w:sz w:val="28"/>
          <w:szCs w:val="28"/>
        </w:rPr>
        <w:t xml:space="preserve"> настоящей работе </w:t>
      </w:r>
      <w:r w:rsidR="00847474" w:rsidRPr="00BA321C">
        <w:rPr>
          <w:rFonts w:ascii="Times New Roman" w:hAnsi="Times New Roman"/>
          <w:sz w:val="28"/>
          <w:szCs w:val="28"/>
        </w:rPr>
        <w:t xml:space="preserve">предпринята попытка разработки прогноза </w:t>
      </w:r>
      <w:r w:rsidRPr="00BA321C">
        <w:rPr>
          <w:rFonts w:ascii="Times New Roman" w:hAnsi="Times New Roman"/>
          <w:sz w:val="28"/>
          <w:szCs w:val="28"/>
        </w:rPr>
        <w:t>динамики ВРП</w:t>
      </w:r>
      <w:r w:rsidR="00847474" w:rsidRPr="00BA321C">
        <w:rPr>
          <w:rFonts w:ascii="Times New Roman" w:hAnsi="Times New Roman"/>
          <w:sz w:val="28"/>
          <w:szCs w:val="28"/>
        </w:rPr>
        <w:t xml:space="preserve"> для регионов Приволжского федерального округа на основе единственного инерционного сценария </w:t>
      </w:r>
      <w:r w:rsidR="00A052FB" w:rsidRPr="00BA321C">
        <w:rPr>
          <w:rFonts w:ascii="Times New Roman" w:hAnsi="Times New Roman"/>
          <w:sz w:val="28"/>
          <w:szCs w:val="28"/>
        </w:rPr>
        <w:t xml:space="preserve">развития </w:t>
      </w:r>
      <w:r w:rsidRPr="00BA321C">
        <w:rPr>
          <w:rFonts w:ascii="Times New Roman" w:hAnsi="Times New Roman"/>
          <w:sz w:val="28"/>
          <w:szCs w:val="28"/>
        </w:rPr>
        <w:t xml:space="preserve">экономического, социального и институционального </w:t>
      </w:r>
      <w:r w:rsidRPr="00BA321C">
        <w:rPr>
          <w:rFonts w:ascii="Times New Roman" w:hAnsi="Times New Roman"/>
          <w:sz w:val="28"/>
          <w:szCs w:val="28"/>
        </w:rPr>
        <w:lastRenderedPageBreak/>
        <w:t>региональных потенциалов</w:t>
      </w:r>
      <w:r w:rsidR="00A052FB" w:rsidRPr="00BA321C">
        <w:rPr>
          <w:rFonts w:ascii="Times New Roman" w:hAnsi="Times New Roman"/>
          <w:sz w:val="28"/>
          <w:szCs w:val="28"/>
        </w:rPr>
        <w:t>, входящих в состав интегрального индекса социально-экономической привлекательности</w:t>
      </w:r>
      <w:r w:rsidRPr="00BA321C">
        <w:rPr>
          <w:rFonts w:ascii="Times New Roman" w:hAnsi="Times New Roman"/>
          <w:sz w:val="28"/>
          <w:szCs w:val="28"/>
        </w:rPr>
        <w:t xml:space="preserve"> (таблица 3.1.</w:t>
      </w:r>
      <w:r w:rsidR="00E0713A" w:rsidRPr="00BA321C">
        <w:rPr>
          <w:rFonts w:ascii="Times New Roman" w:hAnsi="Times New Roman"/>
          <w:sz w:val="28"/>
          <w:szCs w:val="28"/>
        </w:rPr>
        <w:t>6</w:t>
      </w:r>
      <w:r w:rsidRPr="00BA321C">
        <w:rPr>
          <w:rFonts w:ascii="Times New Roman" w:hAnsi="Times New Roman"/>
          <w:sz w:val="28"/>
          <w:szCs w:val="28"/>
        </w:rPr>
        <w:t>)</w:t>
      </w:r>
      <w:r w:rsidR="00A052FB" w:rsidRPr="00BA321C">
        <w:rPr>
          <w:rFonts w:ascii="Times New Roman" w:hAnsi="Times New Roman"/>
          <w:sz w:val="28"/>
          <w:szCs w:val="28"/>
        </w:rPr>
        <w:t>.</w:t>
      </w:r>
    </w:p>
    <w:p w:rsidR="00AE1B5A" w:rsidRPr="00BA321C" w:rsidRDefault="00AE1B5A"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Расчетные данные, представленные в таблице ниже, демонстрируют положительные тенденции роста среднегодовой динамики ВРП в разрезе анализируемой совокупности регионов вплоть до 2030 года.</w:t>
      </w:r>
    </w:p>
    <w:p w:rsidR="00CF0CD7" w:rsidRPr="00BA321C" w:rsidRDefault="00CF0CD7" w:rsidP="00BA321C">
      <w:pPr>
        <w:shd w:val="clear" w:color="auto" w:fill="FFFFFF" w:themeFill="background1"/>
        <w:spacing w:after="0" w:line="360" w:lineRule="auto"/>
        <w:ind w:firstLine="851"/>
        <w:jc w:val="both"/>
        <w:rPr>
          <w:rFonts w:ascii="Times New Roman" w:hAnsi="Times New Roman"/>
          <w:sz w:val="28"/>
          <w:szCs w:val="28"/>
          <w:lang w:eastAsia="ru-RU"/>
        </w:rPr>
      </w:pPr>
    </w:p>
    <w:p w:rsidR="00CF0CD7" w:rsidRPr="00BA321C" w:rsidRDefault="00CF0CD7"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Таблица 3.1.2 – Прогнозные значения ВРП регионов Приволжского федерального округа на период до 2030 года (в разрезе регионов – представителей кластеров)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1357"/>
        <w:gridCol w:w="2366"/>
        <w:gridCol w:w="2254"/>
      </w:tblGrid>
      <w:tr w:rsidR="00CF0CD7" w:rsidRPr="00BA321C" w:rsidTr="00175C51">
        <w:trPr>
          <w:trHeight w:val="315"/>
        </w:trPr>
        <w:tc>
          <w:tcPr>
            <w:tcW w:w="1802" w:type="pct"/>
            <w:shd w:val="clear" w:color="auto" w:fill="auto"/>
            <w:noWrap/>
            <w:vAlign w:val="bottom"/>
            <w:hideMark/>
          </w:tcPr>
          <w:p w:rsidR="00CF0CD7" w:rsidRPr="00BA321C" w:rsidRDefault="00CF0CD7" w:rsidP="00BA321C">
            <w:pPr>
              <w:shd w:val="clear" w:color="auto" w:fill="FFFFFF" w:themeFill="background1"/>
              <w:spacing w:after="0" w:line="360" w:lineRule="auto"/>
              <w:rPr>
                <w:rFonts w:ascii="Times New Roman" w:eastAsia="Times New Roman" w:hAnsi="Times New Roman"/>
                <w:sz w:val="28"/>
                <w:szCs w:val="28"/>
                <w:lang w:eastAsia="ru-RU"/>
              </w:rPr>
            </w:pPr>
          </w:p>
        </w:tc>
        <w:tc>
          <w:tcPr>
            <w:tcW w:w="726" w:type="pct"/>
            <w:shd w:val="clear" w:color="auto" w:fill="auto"/>
            <w:noWrap/>
            <w:vAlign w:val="center"/>
            <w:hideMark/>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2014</w:t>
            </w:r>
          </w:p>
        </w:tc>
        <w:tc>
          <w:tcPr>
            <w:tcW w:w="1266" w:type="pct"/>
            <w:shd w:val="clear" w:color="auto" w:fill="auto"/>
            <w:noWrap/>
            <w:vAlign w:val="center"/>
            <w:hideMark/>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2020</w:t>
            </w:r>
          </w:p>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 xml:space="preserve"> (прогноз)</w:t>
            </w:r>
          </w:p>
        </w:tc>
        <w:tc>
          <w:tcPr>
            <w:tcW w:w="1206" w:type="pct"/>
            <w:shd w:val="clear" w:color="auto" w:fill="auto"/>
            <w:noWrap/>
            <w:vAlign w:val="center"/>
            <w:hideMark/>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2030</w:t>
            </w:r>
          </w:p>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(прогноз)</w:t>
            </w:r>
          </w:p>
        </w:tc>
      </w:tr>
      <w:tr w:rsidR="00CF0CD7" w:rsidRPr="00BA321C" w:rsidTr="00175C51">
        <w:trPr>
          <w:trHeight w:val="390"/>
        </w:trPr>
        <w:tc>
          <w:tcPr>
            <w:tcW w:w="1802" w:type="pct"/>
            <w:shd w:val="clear" w:color="auto" w:fill="auto"/>
            <w:vAlign w:val="center"/>
            <w:hideMark/>
          </w:tcPr>
          <w:p w:rsidR="00CF0CD7" w:rsidRPr="00BA321C" w:rsidRDefault="00CF0CD7"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 xml:space="preserve">Республика Татарстан </w:t>
            </w:r>
          </w:p>
        </w:tc>
        <w:tc>
          <w:tcPr>
            <w:tcW w:w="72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102,1</w:t>
            </w:r>
          </w:p>
        </w:tc>
        <w:tc>
          <w:tcPr>
            <w:tcW w:w="126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105,1</w:t>
            </w:r>
          </w:p>
        </w:tc>
        <w:tc>
          <w:tcPr>
            <w:tcW w:w="120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105,9</w:t>
            </w:r>
          </w:p>
        </w:tc>
      </w:tr>
      <w:tr w:rsidR="00CF0CD7" w:rsidRPr="00BA321C" w:rsidTr="00175C51">
        <w:trPr>
          <w:trHeight w:val="390"/>
        </w:trPr>
        <w:tc>
          <w:tcPr>
            <w:tcW w:w="1802" w:type="pct"/>
            <w:shd w:val="clear" w:color="auto" w:fill="auto"/>
            <w:vAlign w:val="center"/>
            <w:hideMark/>
          </w:tcPr>
          <w:p w:rsidR="00CF0CD7" w:rsidRPr="00BA321C" w:rsidRDefault="00CF0CD7"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Республика Мордовия</w:t>
            </w:r>
          </w:p>
        </w:tc>
        <w:tc>
          <w:tcPr>
            <w:tcW w:w="72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108,1</w:t>
            </w:r>
          </w:p>
        </w:tc>
        <w:tc>
          <w:tcPr>
            <w:tcW w:w="126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103,1</w:t>
            </w:r>
          </w:p>
        </w:tc>
        <w:tc>
          <w:tcPr>
            <w:tcW w:w="120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103,2</w:t>
            </w:r>
          </w:p>
        </w:tc>
      </w:tr>
      <w:tr w:rsidR="00CF0CD7" w:rsidRPr="00BA321C" w:rsidTr="00175C51">
        <w:trPr>
          <w:trHeight w:val="390"/>
        </w:trPr>
        <w:tc>
          <w:tcPr>
            <w:tcW w:w="1802" w:type="pct"/>
            <w:shd w:val="clear" w:color="auto" w:fill="auto"/>
            <w:vAlign w:val="center"/>
            <w:hideMark/>
          </w:tcPr>
          <w:p w:rsidR="00CF0CD7" w:rsidRPr="00BA321C" w:rsidRDefault="00CF0CD7"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Ульяновская область</w:t>
            </w:r>
          </w:p>
        </w:tc>
        <w:tc>
          <w:tcPr>
            <w:tcW w:w="72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100,5</w:t>
            </w:r>
          </w:p>
        </w:tc>
        <w:tc>
          <w:tcPr>
            <w:tcW w:w="126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102,1</w:t>
            </w:r>
          </w:p>
        </w:tc>
        <w:tc>
          <w:tcPr>
            <w:tcW w:w="1206" w:type="pct"/>
            <w:shd w:val="clear" w:color="auto" w:fill="auto"/>
            <w:noWrap/>
            <w:vAlign w:val="center"/>
          </w:tcPr>
          <w:p w:rsidR="00CF0CD7" w:rsidRPr="00BA321C" w:rsidRDefault="00CF0CD7"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102,9</w:t>
            </w:r>
          </w:p>
        </w:tc>
      </w:tr>
    </w:tbl>
    <w:p w:rsidR="00CF0CD7" w:rsidRPr="00BA321C" w:rsidRDefault="00CF0CD7" w:rsidP="00BA321C">
      <w:pPr>
        <w:shd w:val="clear" w:color="auto" w:fill="FFFFFF" w:themeFill="background1"/>
        <w:spacing w:after="0" w:line="360" w:lineRule="auto"/>
        <w:ind w:firstLine="851"/>
        <w:jc w:val="both"/>
        <w:rPr>
          <w:rFonts w:ascii="Times New Roman" w:hAnsi="Times New Roman"/>
          <w:sz w:val="28"/>
          <w:szCs w:val="28"/>
          <w:lang w:eastAsia="ru-RU"/>
        </w:rPr>
      </w:pPr>
    </w:p>
    <w:p w:rsidR="00F6641B" w:rsidRPr="00BA321C" w:rsidRDefault="00040D5E"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Вместе с тем, интересным в аналитическом плане представляется то, что значения </w:t>
      </w:r>
      <w:r w:rsidR="00F6641B" w:rsidRPr="00BA321C">
        <w:rPr>
          <w:rFonts w:ascii="Times New Roman" w:hAnsi="Times New Roman"/>
          <w:sz w:val="28"/>
          <w:szCs w:val="28"/>
          <w:lang w:eastAsia="ru-RU"/>
        </w:rPr>
        <w:t xml:space="preserve">динамики ВРП подвергается </w:t>
      </w:r>
      <w:r w:rsidRPr="00BA321C">
        <w:rPr>
          <w:rFonts w:ascii="Times New Roman" w:hAnsi="Times New Roman"/>
          <w:sz w:val="28"/>
          <w:szCs w:val="28"/>
          <w:lang w:eastAsia="ru-RU"/>
        </w:rPr>
        <w:t>изменениям в соответствии с наметившимся в 20</w:t>
      </w:r>
      <w:r w:rsidR="00F6641B" w:rsidRPr="00BA321C">
        <w:rPr>
          <w:rFonts w:ascii="Times New Roman" w:hAnsi="Times New Roman"/>
          <w:sz w:val="28"/>
          <w:szCs w:val="28"/>
          <w:lang w:eastAsia="ru-RU"/>
        </w:rPr>
        <w:t>05</w:t>
      </w:r>
      <w:r w:rsidRPr="00BA321C">
        <w:rPr>
          <w:rFonts w:ascii="Times New Roman" w:hAnsi="Times New Roman"/>
          <w:sz w:val="28"/>
          <w:szCs w:val="28"/>
          <w:lang w:eastAsia="ru-RU"/>
        </w:rPr>
        <w:t>-201</w:t>
      </w:r>
      <w:r w:rsidR="00F6641B" w:rsidRPr="00BA321C">
        <w:rPr>
          <w:rFonts w:ascii="Times New Roman" w:hAnsi="Times New Roman"/>
          <w:sz w:val="28"/>
          <w:szCs w:val="28"/>
          <w:lang w:eastAsia="ru-RU"/>
        </w:rPr>
        <w:t>4</w:t>
      </w:r>
      <w:r w:rsidRPr="00BA321C">
        <w:rPr>
          <w:rFonts w:ascii="Times New Roman" w:hAnsi="Times New Roman"/>
          <w:sz w:val="28"/>
          <w:szCs w:val="28"/>
          <w:lang w:eastAsia="ru-RU"/>
        </w:rPr>
        <w:t xml:space="preserve">гг. трендом развития </w:t>
      </w:r>
      <w:r w:rsidR="00F6641B" w:rsidRPr="00BA321C">
        <w:rPr>
          <w:rFonts w:ascii="Times New Roman" w:hAnsi="Times New Roman"/>
          <w:sz w:val="28"/>
          <w:szCs w:val="28"/>
          <w:lang w:eastAsia="ru-RU"/>
        </w:rPr>
        <w:t>анализируемых потенциалов</w:t>
      </w:r>
      <w:r w:rsidRPr="00BA321C">
        <w:rPr>
          <w:rFonts w:ascii="Times New Roman" w:hAnsi="Times New Roman"/>
          <w:sz w:val="28"/>
          <w:szCs w:val="28"/>
          <w:lang w:eastAsia="ru-RU"/>
        </w:rPr>
        <w:t xml:space="preserve"> социально-экономического развития. </w:t>
      </w:r>
      <w:r w:rsidR="00F6641B" w:rsidRPr="00BA321C">
        <w:rPr>
          <w:rFonts w:ascii="Times New Roman" w:hAnsi="Times New Roman"/>
          <w:sz w:val="28"/>
          <w:szCs w:val="28"/>
          <w:lang w:eastAsia="ru-RU"/>
        </w:rPr>
        <w:t xml:space="preserve">Важным является то, что регионы с высоким уровнем институционального потенциала демонстрируют более динамичные </w:t>
      </w:r>
      <w:r w:rsidR="00090552" w:rsidRPr="00BA321C">
        <w:rPr>
          <w:rFonts w:ascii="Times New Roman" w:hAnsi="Times New Roman"/>
          <w:sz w:val="28"/>
          <w:szCs w:val="28"/>
          <w:lang w:eastAsia="ru-RU"/>
        </w:rPr>
        <w:t xml:space="preserve">прогностические </w:t>
      </w:r>
      <w:r w:rsidR="00F6641B" w:rsidRPr="00BA321C">
        <w:rPr>
          <w:rFonts w:ascii="Times New Roman" w:hAnsi="Times New Roman"/>
          <w:sz w:val="28"/>
          <w:szCs w:val="28"/>
          <w:lang w:eastAsia="ru-RU"/>
        </w:rPr>
        <w:t>темпы роста ВРП, основанные, по всей видимости, на развитии производительных сил, соответствующих шестому технологическому укладу. Регионы второго и третьего кластеров имеют заметно меньшую динамику роста ВРП. При этом важным с научно-практической точки зрения является то, что для регионов третьего кластера, характеризующихся значительным ресурсно-инфраструктурным потенциалом, но имеющих слабые позиции в отношении институциональных факторов развития, прогнозируются наименьшие темпы роста ВРП.</w:t>
      </w:r>
      <w:r w:rsidR="00E0713A" w:rsidRPr="00BA321C">
        <w:rPr>
          <w:rFonts w:ascii="Times New Roman" w:hAnsi="Times New Roman"/>
          <w:sz w:val="28"/>
          <w:szCs w:val="28"/>
          <w:lang w:eastAsia="ru-RU"/>
        </w:rPr>
        <w:t xml:space="preserve"> </w:t>
      </w:r>
      <w:r w:rsidR="00F6641B" w:rsidRPr="00BA321C">
        <w:rPr>
          <w:rFonts w:ascii="Times New Roman" w:hAnsi="Times New Roman"/>
          <w:sz w:val="28"/>
          <w:szCs w:val="28"/>
          <w:lang w:eastAsia="ru-RU"/>
        </w:rPr>
        <w:t xml:space="preserve">Таким образом результаты экономико-математического моделирования подтверждают предположения о том, что текущий вектор экономического </w:t>
      </w:r>
      <w:r w:rsidR="00F6641B" w:rsidRPr="00BA321C">
        <w:rPr>
          <w:rFonts w:ascii="Times New Roman" w:hAnsi="Times New Roman"/>
          <w:sz w:val="28"/>
          <w:szCs w:val="28"/>
          <w:lang w:eastAsia="ru-RU"/>
        </w:rPr>
        <w:lastRenderedPageBreak/>
        <w:t xml:space="preserve">развития, опирающийся на потребление ресурсной базы не способен обеспечить динамичные тренды создаваемого в экономике конечного продукта. Требуется </w:t>
      </w:r>
      <w:r w:rsidR="00B551AB" w:rsidRPr="00BA321C">
        <w:rPr>
          <w:rFonts w:ascii="Times New Roman" w:hAnsi="Times New Roman"/>
          <w:sz w:val="28"/>
          <w:szCs w:val="28"/>
          <w:lang w:eastAsia="ru-RU"/>
        </w:rPr>
        <w:t>трансформация институтов развития, опирающаяся, в первую очередь, на активное внедрение механизмов стимулирования «умной» экономики, основанной на внедрении и развитии инновационных производительных сил.</w:t>
      </w:r>
    </w:p>
    <w:p w:rsidR="00F6641B" w:rsidRPr="00BA321C" w:rsidRDefault="00F6641B" w:rsidP="00BA321C">
      <w:pPr>
        <w:shd w:val="clear" w:color="auto" w:fill="FFFFFF" w:themeFill="background1"/>
        <w:spacing w:after="0" w:line="360" w:lineRule="auto"/>
        <w:ind w:firstLine="851"/>
        <w:jc w:val="both"/>
        <w:rPr>
          <w:rFonts w:ascii="Times New Roman" w:hAnsi="Times New Roman"/>
          <w:sz w:val="28"/>
          <w:szCs w:val="28"/>
          <w:lang w:eastAsia="ru-RU"/>
        </w:rPr>
      </w:pPr>
    </w:p>
    <w:p w:rsidR="005C2905" w:rsidRPr="00BA321C" w:rsidRDefault="00CC76B0" w:rsidP="00C35E98">
      <w:pPr>
        <w:pStyle w:val="3"/>
      </w:pPr>
      <w:bookmarkStart w:id="13" w:name="_Toc451869596"/>
      <w:r w:rsidRPr="00BA321C">
        <w:t>3</w:t>
      </w:r>
      <w:r w:rsidR="00CD1F00" w:rsidRPr="00BA321C">
        <w:t xml:space="preserve">.2 </w:t>
      </w:r>
      <w:r w:rsidR="005C2905" w:rsidRPr="00BA321C">
        <w:t>Организационно-экономические механизмы стратегического развития региональных производительных сил</w:t>
      </w:r>
      <w:r w:rsidR="007A444E" w:rsidRPr="00BA321C">
        <w:t xml:space="preserve"> ПФО </w:t>
      </w:r>
      <w:r w:rsidR="005C2905" w:rsidRPr="00BA321C">
        <w:t>на основе многомерного факторного анализа</w:t>
      </w:r>
      <w:bookmarkEnd w:id="13"/>
    </w:p>
    <w:p w:rsidR="00752EBE"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Разработка стратегии развития производительных сил в регионах должна опираться на всеобъемлющий, комплексный анализ максимальной совокупности факторов, определяющих региональные тренды социально-экономического развития. </w:t>
      </w:r>
      <w:r w:rsidR="00752EBE" w:rsidRPr="00BA321C">
        <w:rPr>
          <w:rFonts w:ascii="Times New Roman" w:hAnsi="Times New Roman"/>
          <w:sz w:val="28"/>
          <w:szCs w:val="28"/>
          <w:lang w:eastAsia="ru-RU"/>
        </w:rPr>
        <w:t>При этом, как это было показано выше,</w:t>
      </w:r>
      <w:r w:rsidRPr="00BA321C">
        <w:rPr>
          <w:rFonts w:ascii="Times New Roman" w:hAnsi="Times New Roman"/>
          <w:sz w:val="28"/>
          <w:szCs w:val="28"/>
          <w:lang w:eastAsia="ru-RU"/>
        </w:rPr>
        <w:t xml:space="preserve"> необходимо осуществить оценку и анализ структурно-динамических факторов, характеризующих </w:t>
      </w:r>
      <w:r w:rsidR="00752EBE" w:rsidRPr="00BA321C">
        <w:rPr>
          <w:rFonts w:ascii="Times New Roman" w:hAnsi="Times New Roman"/>
          <w:sz w:val="28"/>
          <w:szCs w:val="28"/>
          <w:lang w:eastAsia="ru-RU"/>
        </w:rPr>
        <w:t xml:space="preserve">потенциал развития региональных социально-экономических систем. В укрупненном виде нами было определено три вида потенциалов, определяющих развитие производительных сил: экономический (ресурсно-инфраструктурный), социальный и институциональный. Несомненно, каждый из них формирует тренды и характер становления производительных элементов региона. Однако при разработке стратегических программ развития существует необходимость укрупненной детализации направлений. В связи с чем представляется целесообразным при выработке индивидуальных стратегических направлений развития производительных сил региона опираться не на трехмерную «систему координат», а на более широкий перечень направлений воздействия. </w:t>
      </w:r>
    </w:p>
    <w:p w:rsidR="00F212F2"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В соответствии с вышеизложенным, а также с ранее проведенным анализом демографического «каркаса» регионов ПФО, можно построить наиболее предпочтительные сценарии развития производительных сил в </w:t>
      </w:r>
      <w:r w:rsidRPr="00BA321C">
        <w:rPr>
          <w:rFonts w:ascii="Times New Roman" w:hAnsi="Times New Roman"/>
          <w:sz w:val="28"/>
          <w:szCs w:val="28"/>
          <w:lang w:eastAsia="ru-RU"/>
        </w:rPr>
        <w:lastRenderedPageBreak/>
        <w:t>сфере индустриально-промышленного развития регионов Приволжского федерального округа:</w:t>
      </w:r>
    </w:p>
    <w:p w:rsidR="00F212F2"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1. В Приволжском федеральном округе из всей совокупности входящих в него регионов стабильностью формирования и развития городских систем с точки зрения развития у них демографических трендов, отличаются Республика Татарстан, Самарская область, Нижегородская область и Республика Башкортостан, а также Пермский край и Оренбургская область. В связи с этим целесообразно рассматривать данные регионы в качестве приоритетных территориальных «площадок» для современного развития и модернизации производительных сил в ПФО.</w:t>
      </w:r>
    </w:p>
    <w:p w:rsidR="00F212F2"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rPr>
      </w:pPr>
      <w:r w:rsidRPr="00BA321C">
        <w:rPr>
          <w:rFonts w:ascii="Times New Roman" w:hAnsi="Times New Roman"/>
          <w:sz w:val="28"/>
          <w:szCs w:val="28"/>
          <w:lang w:eastAsia="ru-RU"/>
        </w:rPr>
        <w:t xml:space="preserve">2. Исходя из предположения и обоснования в предыдущем разделе диссертационной работы гипотезы о том, что </w:t>
      </w:r>
      <w:r w:rsidR="00FA51A2" w:rsidRPr="00BA321C">
        <w:rPr>
          <w:rFonts w:ascii="Times New Roman" w:hAnsi="Times New Roman"/>
          <w:sz w:val="28"/>
          <w:szCs w:val="28"/>
          <w:lang w:eastAsia="ru-RU"/>
        </w:rPr>
        <w:t xml:space="preserve">наиболее оптимальной структурой городского расселения региона, отвечающей целям обеспечения наиболее динамичного и эффективного индустриально-промышленного развития </w:t>
      </w:r>
      <w:r w:rsidR="002F690D" w:rsidRPr="00BA321C">
        <w:rPr>
          <w:rFonts w:ascii="Times New Roman" w:hAnsi="Times New Roman"/>
          <w:sz w:val="28"/>
          <w:szCs w:val="28"/>
          <w:lang w:eastAsia="ru-RU"/>
        </w:rPr>
        <w:t xml:space="preserve">является структура, </w:t>
      </w:r>
      <w:r w:rsidRPr="00BA321C">
        <w:rPr>
          <w:rFonts w:ascii="Times New Roman" w:hAnsi="Times New Roman"/>
          <w:sz w:val="28"/>
          <w:szCs w:val="28"/>
          <w:lang w:eastAsia="ru-RU"/>
        </w:rPr>
        <w:t xml:space="preserve">характеризующаяся наличием городов всех размерных групп (более 200 тыс. чел., 100-200 тыс. чел., 50-100 тыс. чел. и менее 50 тыс. чел.) можно сделать вывод о том, что на сегодняшний и перспективный момент времени наиболее предпочтительными, </w:t>
      </w:r>
      <w:r w:rsidRPr="00BA321C">
        <w:rPr>
          <w:rFonts w:ascii="Times New Roman" w:hAnsi="Times New Roman"/>
          <w:sz w:val="28"/>
          <w:szCs w:val="28"/>
        </w:rPr>
        <w:t xml:space="preserve">с точки зрения развития промышленного индустриального потенциала, являются Республика Татарстан, Самарская и Нижегородская области. Именно они, по сути образовывают «каркас» демографического профиля Приволжского федерального округа, генерирующего потенциал развития производительных сил. Вместе с тем необходимо заметить, что стремительный рост «качества» демографического потенциала Республики Башкортостан (рост доли населения городов до 12,4% в 2010г.) также предопределяет вхождение данного региона в так называемый «каркас» демографического потенциала ПФО. </w:t>
      </w:r>
    </w:p>
    <w:p w:rsidR="00F212F2"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3. Вместе с тем необходимо заметить, что Республика Башкортостан все же несколько уступает позиции по уровню и перспективам развития и размещения инновационно - модернизационных производительных сил с </w:t>
      </w:r>
      <w:r w:rsidRPr="00BA321C">
        <w:rPr>
          <w:rFonts w:ascii="Times New Roman" w:hAnsi="Times New Roman"/>
          <w:sz w:val="28"/>
          <w:szCs w:val="28"/>
        </w:rPr>
        <w:lastRenderedPageBreak/>
        <w:t>точки зрения имеющегося демографического потенциала по отношению к регионам-лидерам по данному показателю. Несмотря на отмеченный выше рост доли населения городов в Республике Башкортостан в последние десятилетия шло достаточно активное преобразование поселков городского типа в сельские поселения. В целом это являлось мерой вынужденной, поскольку получивших сельский статус бывших городских поселениях сельскохозяйственные виды экономической деятельности стали преобладать над промышленностью и торговлей. Вынужденный характер таких преобразований – это «минус». Положительной стороной в этом процессе был рост устойчивости несколько «усеченной» описанными мерами городской системы поселений Республики Башкортостан. Вместе с тем, произошедшая между 2002 и 2010 годами дезурбанизация населения являлась несомненным, достаточно весомым демографическим региональным «пассивом» Республики Башкортостан. Уже этого одного достаточно, чтобы с точки зрения привлекательности в демографическом плане в перспективном промышленно-индустриальном развитии ставить Республику Башкортостан несколько ниже рассмотренных нами Самарской, Нижегородской областей и Республики Татарстан.</w:t>
      </w:r>
    </w:p>
    <w:p w:rsidR="00F212F2" w:rsidRPr="00BA321C" w:rsidRDefault="00F212F2" w:rsidP="00BA321C">
      <w:pPr>
        <w:shd w:val="clear" w:color="auto" w:fill="FFFFFF" w:themeFill="background1"/>
        <w:tabs>
          <w:tab w:val="left" w:pos="993"/>
        </w:tabs>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Возвращаясь к многомерному анализу социальной и экономической сфер регионов, с точки зрения перспектив и целесообразности размещения и развития производительных сил, необходимо отметить, что для разработки возможных сценариев инновационно-модернизационного развития промышленного потенциала регионов необходимо учитывать и оценивать факторы, определяющие его развитие сегодня и в перспективе. Решение поставленной задачи возможно используя известные инструменты корреляционно-регрессионного анализа. Таким образом при разработке и обосновании не только возможных, но и наиболее перспективных сценариев развития региональных производительных сил предлагается в данной работе осуществить оценку тесноты связей между изучаемыми факторами, определяющими социально-экономическую привлекательность региона и </w:t>
      </w:r>
      <w:r w:rsidRPr="00BA321C">
        <w:rPr>
          <w:rFonts w:ascii="Times New Roman" w:hAnsi="Times New Roman"/>
          <w:sz w:val="28"/>
          <w:szCs w:val="28"/>
          <w:lang w:eastAsia="ru-RU"/>
        </w:rPr>
        <w:lastRenderedPageBreak/>
        <w:t>уровнем его экономического развития (ВРП). Предварительно абсолютные значения показателей ВРП были трансформированы, используя ранее описанные методологические подходы, в систему бально-рейтинговых оценок. Результаты оценок в разрезе регионов Приволжского федерального округа представлены в рисунке 3.</w:t>
      </w:r>
      <w:r w:rsidR="00941ED4" w:rsidRPr="00BA321C">
        <w:rPr>
          <w:rFonts w:ascii="Times New Roman" w:hAnsi="Times New Roman"/>
          <w:sz w:val="28"/>
          <w:szCs w:val="28"/>
          <w:lang w:eastAsia="ru-RU"/>
        </w:rPr>
        <w:t>2.1</w:t>
      </w:r>
      <w:r w:rsidRPr="00BA321C">
        <w:rPr>
          <w:rFonts w:ascii="Times New Roman" w:hAnsi="Times New Roman"/>
          <w:sz w:val="28"/>
          <w:szCs w:val="28"/>
          <w:lang w:eastAsia="ru-RU"/>
        </w:rPr>
        <w:t>. Иерархическая последовательность представления регионов на рисунке сформирована исходя из ранее определенных в работе наиболее предпочтительных регионов ПФО по уровню развития демографического потенциала и перспектив инновационно-модернизационного развития.</w:t>
      </w: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sectPr w:rsidR="00F212F2" w:rsidRPr="00BA321C">
          <w:headerReference w:type="default" r:id="rId43"/>
          <w:pgSz w:w="11906" w:h="16838"/>
          <w:pgMar w:top="1134" w:right="850" w:bottom="1134" w:left="1701" w:header="708" w:footer="708"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80"/>
        <w:gridCol w:w="7280"/>
      </w:tblGrid>
      <w:tr w:rsidR="00E53C41" w:rsidRPr="00BA321C" w:rsidTr="001878CF">
        <w:trPr>
          <w:trHeight w:val="3822"/>
        </w:trPr>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lastRenderedPageBreak/>
              <w:drawing>
                <wp:inline distT="0" distB="0" distL="0" distR="0" wp14:anchorId="569DAEF9" wp14:editId="7A4E6FBA">
                  <wp:extent cx="4502785" cy="2428875"/>
                  <wp:effectExtent l="0" t="0" r="12065" b="9525"/>
                  <wp:docPr id="25"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2E213AA4" wp14:editId="4BD37A06">
                  <wp:extent cx="4568825" cy="2415540"/>
                  <wp:effectExtent l="0" t="0" r="3175" b="3810"/>
                  <wp:docPr id="26"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E53C41" w:rsidRPr="00BA321C" w:rsidTr="001878CF">
        <w:trPr>
          <w:trHeight w:val="341"/>
        </w:trPr>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Республика Татарстан</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Самарская область</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0AFD06DC" wp14:editId="27FCCEC2">
                  <wp:extent cx="4568825" cy="2607945"/>
                  <wp:effectExtent l="0" t="0" r="3175" b="1905"/>
                  <wp:docPr id="27"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2894C218" wp14:editId="6DE6CF7C">
                  <wp:extent cx="4568825" cy="2560955"/>
                  <wp:effectExtent l="0" t="0" r="3175" b="10795"/>
                  <wp:docPr id="28"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Нижегородская область</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Республика Башкортостан</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lastRenderedPageBreak/>
              <w:drawing>
                <wp:inline distT="0" distB="0" distL="0" distR="0" wp14:anchorId="4AB2ADCD" wp14:editId="43C25EB9">
                  <wp:extent cx="4568825" cy="2604135"/>
                  <wp:effectExtent l="0" t="0" r="3175" b="5715"/>
                  <wp:docPr id="29"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12B8C377" wp14:editId="552F610E">
                  <wp:extent cx="4568825" cy="2587625"/>
                  <wp:effectExtent l="0" t="0" r="3175" b="3175"/>
                  <wp:docPr id="30"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Пермский край</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Оренбургская область</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15AB321A" wp14:editId="63ADC504">
                  <wp:extent cx="4568825" cy="2451735"/>
                  <wp:effectExtent l="0" t="0" r="3175" b="5715"/>
                  <wp:docPr id="31"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jc w:val="both"/>
              <w:rPr>
                <w:rFonts w:ascii="Times New Roman" w:hAnsi="Times New Roman"/>
                <w:sz w:val="28"/>
                <w:szCs w:val="28"/>
                <w:lang w:eastAsia="ru-RU"/>
              </w:rPr>
            </w:pPr>
            <w:r w:rsidRPr="00BA321C">
              <w:rPr>
                <w:noProof/>
                <w:sz w:val="20"/>
                <w:szCs w:val="20"/>
                <w:lang w:eastAsia="ru-RU"/>
              </w:rPr>
              <w:drawing>
                <wp:inline distT="0" distB="0" distL="0" distR="0" wp14:anchorId="1C6C25CA" wp14:editId="7BF2691B">
                  <wp:extent cx="4568825" cy="2455545"/>
                  <wp:effectExtent l="0" t="0" r="3175" b="1905"/>
                  <wp:docPr id="32"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Саратовская область</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Республика Марий Эл</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lastRenderedPageBreak/>
              <w:drawing>
                <wp:inline distT="0" distB="0" distL="0" distR="0" wp14:anchorId="1DB72FE4" wp14:editId="17B4F3B4">
                  <wp:extent cx="4568825" cy="2494915"/>
                  <wp:effectExtent l="0" t="0" r="3175" b="635"/>
                  <wp:docPr id="33"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drawing>
                <wp:inline distT="0" distB="0" distL="0" distR="0" wp14:anchorId="13F60ADF" wp14:editId="610BD59E">
                  <wp:extent cx="4568825" cy="2538095"/>
                  <wp:effectExtent l="0" t="0" r="3175" b="14605"/>
                  <wp:docPr id="34"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Республика Мордовия</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Удмуртская Республика</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drawing>
                <wp:inline distT="0" distB="0" distL="0" distR="0" wp14:anchorId="1E0EE89D" wp14:editId="3CFE9D30">
                  <wp:extent cx="4568825" cy="2567940"/>
                  <wp:effectExtent l="0" t="0" r="3175" b="3810"/>
                  <wp:docPr id="35"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drawing>
                <wp:inline distT="0" distB="0" distL="0" distR="0" wp14:anchorId="0EE0FF3A" wp14:editId="68ABFDCE">
                  <wp:extent cx="4568825" cy="2548255"/>
                  <wp:effectExtent l="0" t="0" r="3175" b="4445"/>
                  <wp:docPr id="36"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Чувашская Республика</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Кировская область</w:t>
            </w:r>
          </w:p>
        </w:tc>
      </w:tr>
      <w:tr w:rsidR="00E53C41" w:rsidRPr="00BA321C" w:rsidTr="001878CF">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lastRenderedPageBreak/>
              <w:drawing>
                <wp:inline distT="0" distB="0" distL="0" distR="0" wp14:anchorId="2934A858" wp14:editId="642B1002">
                  <wp:extent cx="4568825" cy="2740025"/>
                  <wp:effectExtent l="0" t="0" r="3175" b="3175"/>
                  <wp:docPr id="37"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7280" w:type="dxa"/>
            <w:shd w:val="clear" w:color="auto" w:fill="auto"/>
          </w:tcPr>
          <w:p w:rsidR="00F212F2" w:rsidRPr="00BA321C" w:rsidRDefault="00F02869" w:rsidP="00BA321C">
            <w:pPr>
              <w:shd w:val="clear" w:color="auto" w:fill="FFFFFF" w:themeFill="background1"/>
              <w:spacing w:after="0" w:line="360" w:lineRule="auto"/>
              <w:rPr>
                <w:rFonts w:ascii="Times New Roman" w:hAnsi="Times New Roman"/>
                <w:sz w:val="28"/>
                <w:szCs w:val="28"/>
                <w:lang w:eastAsia="ru-RU"/>
              </w:rPr>
            </w:pPr>
            <w:r w:rsidRPr="00BA321C">
              <w:rPr>
                <w:noProof/>
                <w:sz w:val="20"/>
                <w:szCs w:val="20"/>
                <w:lang w:eastAsia="ru-RU"/>
              </w:rPr>
              <w:drawing>
                <wp:inline distT="0" distB="0" distL="0" distR="0" wp14:anchorId="631206F9" wp14:editId="45A26E06">
                  <wp:extent cx="4568825" cy="2740025"/>
                  <wp:effectExtent l="0" t="0" r="3175" b="3175"/>
                  <wp:docPr id="38"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E53C41" w:rsidRPr="00BA321C" w:rsidTr="001878CF">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Пензенская область</w:t>
            </w:r>
          </w:p>
        </w:tc>
        <w:tc>
          <w:tcPr>
            <w:tcW w:w="7280" w:type="dxa"/>
            <w:shd w:val="clear" w:color="auto" w:fill="auto"/>
          </w:tcPr>
          <w:p w:rsidR="00F212F2" w:rsidRPr="00BA321C" w:rsidRDefault="00F212F2" w:rsidP="00BA321C">
            <w:pPr>
              <w:pStyle w:val="a4"/>
              <w:numPr>
                <w:ilvl w:val="0"/>
                <w:numId w:val="42"/>
              </w:numPr>
              <w:shd w:val="clear" w:color="auto" w:fill="FFFFFF" w:themeFill="background1"/>
              <w:spacing w:after="0" w:line="360" w:lineRule="auto"/>
              <w:rPr>
                <w:rFonts w:ascii="Times New Roman" w:hAnsi="Times New Roman"/>
                <w:sz w:val="28"/>
                <w:szCs w:val="28"/>
                <w:lang w:eastAsia="ru-RU"/>
              </w:rPr>
            </w:pPr>
            <w:r w:rsidRPr="00BA321C">
              <w:rPr>
                <w:rFonts w:ascii="Times New Roman" w:hAnsi="Times New Roman"/>
                <w:sz w:val="28"/>
                <w:szCs w:val="28"/>
                <w:lang w:eastAsia="ru-RU"/>
              </w:rPr>
              <w:t>Ульяновская область</w:t>
            </w:r>
          </w:p>
        </w:tc>
      </w:tr>
    </w:tbl>
    <w:p w:rsidR="00F212F2" w:rsidRPr="00BA321C" w:rsidRDefault="00F212F2" w:rsidP="00BA321C">
      <w:pPr>
        <w:shd w:val="clear" w:color="auto" w:fill="FFFFFF" w:themeFill="background1"/>
        <w:spacing w:after="0" w:line="360" w:lineRule="auto"/>
        <w:jc w:val="center"/>
        <w:rPr>
          <w:rFonts w:ascii="Times New Roman" w:hAnsi="Times New Roman"/>
          <w:sz w:val="28"/>
          <w:szCs w:val="28"/>
          <w:lang w:eastAsia="ru-RU"/>
        </w:rPr>
      </w:pPr>
      <w:r w:rsidRPr="00BA321C">
        <w:rPr>
          <w:rFonts w:ascii="Times New Roman" w:hAnsi="Times New Roman"/>
          <w:sz w:val="28"/>
          <w:szCs w:val="28"/>
          <w:lang w:eastAsia="ru-RU"/>
        </w:rPr>
        <w:t>Рисунок 3.2.1 – Корреляционная зависимость факторов социально-экономической привлекательности и уровнем экономического развития регионов</w:t>
      </w:r>
      <w:r w:rsidR="00313147" w:rsidRPr="00BA321C">
        <w:rPr>
          <w:rFonts w:ascii="Times New Roman" w:hAnsi="Times New Roman"/>
          <w:sz w:val="28"/>
          <w:szCs w:val="28"/>
          <w:lang w:eastAsia="ru-RU"/>
        </w:rPr>
        <w:t xml:space="preserve"> (ВРП)</w:t>
      </w: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sectPr w:rsidR="00F212F2" w:rsidRPr="00BA321C" w:rsidSect="00E949AE">
          <w:pgSz w:w="16838" w:h="11906" w:orient="landscape"/>
          <w:pgMar w:top="1701" w:right="1134" w:bottom="850" w:left="1134" w:header="708" w:footer="708" w:gutter="0"/>
          <w:cols w:space="708"/>
          <w:docGrid w:linePitch="360"/>
        </w:sectPr>
      </w:pP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Полученные значения коэффициентов корреляции позволяют оценить и определить наиболее перспективные, стратегические направления развития производительных сил применительно к конкретному региону ПФО с учетом имеющегося у них потенциала социально-экономических </w:t>
      </w:r>
      <w:r w:rsidR="00313147" w:rsidRPr="00BA321C">
        <w:rPr>
          <w:rFonts w:ascii="Times New Roman" w:hAnsi="Times New Roman"/>
          <w:sz w:val="28"/>
          <w:szCs w:val="28"/>
          <w:lang w:eastAsia="ru-RU"/>
        </w:rPr>
        <w:t xml:space="preserve">и институциональных </w:t>
      </w:r>
      <w:r w:rsidRPr="00BA321C">
        <w:rPr>
          <w:rFonts w:ascii="Times New Roman" w:hAnsi="Times New Roman"/>
          <w:sz w:val="28"/>
          <w:szCs w:val="28"/>
          <w:lang w:eastAsia="ru-RU"/>
        </w:rPr>
        <w:t xml:space="preserve">факторов.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Расчеты демонстрируют главную закономерность, выраженную в том, что абсолютно все регионы Приволжского федерального округа имеют крайне высокий уровень зависимости экономического развития от процессов, характеризующих демографические тренды. Так, проведенные расчеты оценивают данный уровень зависимости в регионах ПФО в диапазоне от 0,79 до 0,97, что подтверждает ранее выдвинутую в настоящем исследовании гипотезу о хороших перспективах инновационно-модернизационного развития производительных сил в тех регионах, где показатели демографического развития принимают высокие значения.</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 связи с этим в основе генеральной стратегии развития производительных сил в Приволжском федеральном округе лежит ранее доказанная гипотеза о том, что на сегодняшний и перспективный момент</w:t>
      </w:r>
      <w:r w:rsidR="00440246" w:rsidRPr="00BA321C">
        <w:rPr>
          <w:rFonts w:ascii="Times New Roman" w:hAnsi="Times New Roman"/>
          <w:sz w:val="28"/>
          <w:szCs w:val="28"/>
          <w:lang w:eastAsia="ru-RU"/>
        </w:rPr>
        <w:t>ы</w:t>
      </w:r>
      <w:r w:rsidRPr="00BA321C">
        <w:rPr>
          <w:rFonts w:ascii="Times New Roman" w:hAnsi="Times New Roman"/>
          <w:sz w:val="28"/>
          <w:szCs w:val="28"/>
          <w:lang w:eastAsia="ru-RU"/>
        </w:rPr>
        <w:t xml:space="preserve"> времени наиболее предпочтительными, </w:t>
      </w:r>
      <w:r w:rsidRPr="00BA321C">
        <w:rPr>
          <w:rFonts w:ascii="Times New Roman" w:hAnsi="Times New Roman"/>
          <w:sz w:val="28"/>
          <w:szCs w:val="28"/>
        </w:rPr>
        <w:t>с точки зрения развития промышленного индустриального потенциала, являются Республика Татарстан, Самарская и Нижегородская области. Именно они, по сути образовывают «каркас» демографического профиля Приволжского федерального округа, генерирующего потенциал развития производительных сил. В связи с чем данную совокупность регионов можно отнести к условной группе «лидеров».</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Следующий уровень оценки перспектив развития региональных производительных сил должен определяется системным анализом иных факторов, формирующих устойчивый потенциал их развития. При этом при выработке стратегических решений и концепций необходимо использовать дифференцированный подход применительно к регионам, отнесенным к группе лидеров и регионам, потенциал которых оценивается несколько ниже. </w:t>
      </w:r>
      <w:r w:rsidRPr="00BA321C">
        <w:rPr>
          <w:rFonts w:ascii="Times New Roman" w:hAnsi="Times New Roman"/>
          <w:sz w:val="28"/>
          <w:szCs w:val="28"/>
          <w:lang w:eastAsia="ru-RU"/>
        </w:rPr>
        <w:lastRenderedPageBreak/>
        <w:t xml:space="preserve">Другими словами, очевидным, по нашему мнению, является укрепление конкурентных преимуществ для сильных регионов и создание базовых условий для развития недостаточно развитых факторов социально-экономической привлекательности для слабых регионов.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Исходя из вышеопределенных подходов к разработке стратегий развития производительных сил в регионах ПФО с учетом тенденций изменения параметров и факторов социально-экономической привлекательности ниже представлены научно-обоснованные концепции развития и размещения производительных сил.</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Для регионов, отнесенны</w:t>
      </w:r>
      <w:r w:rsidR="00313147" w:rsidRPr="00BA321C">
        <w:rPr>
          <w:rFonts w:ascii="Times New Roman" w:hAnsi="Times New Roman"/>
          <w:sz w:val="28"/>
          <w:szCs w:val="28"/>
          <w:lang w:eastAsia="ru-RU"/>
        </w:rPr>
        <w:t>х</w:t>
      </w:r>
      <w:r w:rsidRPr="00BA321C">
        <w:rPr>
          <w:rFonts w:ascii="Times New Roman" w:hAnsi="Times New Roman"/>
          <w:sz w:val="28"/>
          <w:szCs w:val="28"/>
          <w:lang w:eastAsia="ru-RU"/>
        </w:rPr>
        <w:t xml:space="preserve"> к группе лидеров (Республика Татарстан, Самарская область, Нижегородская область</w:t>
      </w:r>
      <w:r w:rsidR="00313147" w:rsidRPr="00BA321C">
        <w:rPr>
          <w:rFonts w:ascii="Times New Roman" w:hAnsi="Times New Roman"/>
          <w:sz w:val="28"/>
          <w:szCs w:val="28"/>
          <w:lang w:eastAsia="ru-RU"/>
        </w:rPr>
        <w:t>, Пермский край</w:t>
      </w:r>
      <w:r w:rsidRPr="00BA321C">
        <w:rPr>
          <w:rFonts w:ascii="Times New Roman" w:hAnsi="Times New Roman"/>
          <w:sz w:val="28"/>
          <w:szCs w:val="28"/>
          <w:lang w:eastAsia="ru-RU"/>
        </w:rPr>
        <w:t xml:space="preserve"> и Республика Башкортостан) наблюдаются общие закономерности развития. Так, ключевыми факторами, определяющими их экономический рост (помимо конечно же высококонкурентных особенностей демографического развития), стали такие факторы, как:</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промышленное развитие (диапазон значений коэффициентов корреляции для рассматриваемых регионов составляет от 0,88 до 0,98);</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развитие информационно-коммуникационного сектора (диапазон от 0,94 до 0,98). Вместе с тем коэффициент корреляции для Нижегородской области составил «всего» 0,75, что несколько снижает значение данного фактора для экономического развития этого региона;</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развитие рыночной инфраструктуры (диапазон значений 0,73-089);</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 связи с этим целесообразным, в сфере развития производительных сил в рассматриваемых регионах, является дальнейшее укрепление данных факторов роста и наращивание их потенциала.</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Вместе с тем имеются и специфические особенности влияния изучаемой совокупности факторов на экономическое развитие условно сильных регионов. К примеру, для Республики Татарстан, в отличие, например, от Самарской области, наблюдается </w:t>
      </w:r>
      <w:r w:rsidR="00313147" w:rsidRPr="00BA321C">
        <w:rPr>
          <w:rFonts w:ascii="Times New Roman" w:hAnsi="Times New Roman"/>
          <w:sz w:val="28"/>
          <w:szCs w:val="28"/>
          <w:lang w:eastAsia="ru-RU"/>
        </w:rPr>
        <w:t xml:space="preserve">более </w:t>
      </w:r>
      <w:r w:rsidRPr="00BA321C">
        <w:rPr>
          <w:rFonts w:ascii="Times New Roman" w:hAnsi="Times New Roman"/>
          <w:sz w:val="28"/>
          <w:szCs w:val="28"/>
          <w:lang w:eastAsia="ru-RU"/>
        </w:rPr>
        <w:t xml:space="preserve">высокая зависимость роста ВРП от развития науки и образования. В связи с этим необходимо, при </w:t>
      </w:r>
      <w:r w:rsidRPr="00BA321C">
        <w:rPr>
          <w:rFonts w:ascii="Times New Roman" w:hAnsi="Times New Roman"/>
          <w:sz w:val="28"/>
          <w:szCs w:val="28"/>
          <w:lang w:eastAsia="ru-RU"/>
        </w:rPr>
        <w:lastRenderedPageBreak/>
        <w:t xml:space="preserve">формировании и разработке концепции развития производительных сил, упор делать на организацию и укрепление дальнейших институциональных и конъюнктурных условий развития наукоемких производств. Особенно по тем направлениям, где уже существуют исторически сформировавшиеся промышленно-производственные заделы (авиастроение, судостроение, фармацевтика, нефтехимия и т. п.).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Также наблюдается существенная дифференциация в сфере развития сельскохозяйственного сектора экономики рассматриваемых регионов. Значимый уровень его влияния на общеэкономическое развитие регионов наблюдается в Республике Татарстан и Республике Башкортостан (коэффициент корреляции 0,76 и 0,70). В то же время в Нижегородской и Самарской областях это влияние носит минимальный характер. Вместе с тем необходимо отметить, что несмотря на отмеченные показатели влияния аграрного сектора оно значительно ниже целого ряда регионов, вошедших во вторую условную группу отстающих.</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 xml:space="preserve">Обращает на себя внимание и расхождения относительно влияния на социально-экономическое развитие регионов такого фактора, как развитие рынка труда. В Самарской области и Республике Башкортостан значения коэффициентов корреляции имеют недостаточно высокий уровень. Это может означать о целесообразности интенсификации мероприятий, направленных на более динамичное и эффективное развитие данной составляющей экономического роста. В качестве одного из инструментов здесь можно предложить механизм роста экономической активности населения посредством развития бизнес инфраструктуры.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 целом, руководствуясь обозначенными принципами развития производительных сил, ниже в таблице</w:t>
      </w:r>
      <w:r w:rsidR="00941ED4" w:rsidRPr="00BA321C">
        <w:rPr>
          <w:rFonts w:ascii="Times New Roman" w:hAnsi="Times New Roman"/>
          <w:sz w:val="28"/>
          <w:szCs w:val="28"/>
          <w:lang w:eastAsia="ru-RU"/>
        </w:rPr>
        <w:t xml:space="preserve"> 3.2.1</w:t>
      </w:r>
      <w:r w:rsidRPr="00BA321C">
        <w:rPr>
          <w:rFonts w:ascii="Times New Roman" w:hAnsi="Times New Roman"/>
          <w:sz w:val="28"/>
          <w:szCs w:val="28"/>
          <w:lang w:eastAsia="ru-RU"/>
        </w:rPr>
        <w:t xml:space="preserve"> представлена стратегическая матрица перспективных альтернатив и направлений организации их инновационно-модернизационного потенциала в регионах Приволжского федерального округа, отнесенных к условной группе лидеров.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sectPr w:rsidR="00F212F2" w:rsidRPr="00BA321C">
          <w:pgSz w:w="11906" w:h="16838"/>
          <w:pgMar w:top="1134" w:right="850" w:bottom="1134" w:left="1701" w:header="708" w:footer="708" w:gutter="0"/>
          <w:cols w:space="708"/>
          <w:docGrid w:linePitch="360"/>
        </w:sect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Таблица </w:t>
      </w:r>
      <w:r w:rsidR="00941ED4" w:rsidRPr="00BA321C">
        <w:rPr>
          <w:rFonts w:ascii="Times New Roman" w:hAnsi="Times New Roman"/>
          <w:sz w:val="28"/>
          <w:szCs w:val="28"/>
          <w:lang w:eastAsia="ru-RU"/>
        </w:rPr>
        <w:t>3.2.1</w:t>
      </w:r>
      <w:r w:rsidRPr="00BA321C">
        <w:rPr>
          <w:rFonts w:ascii="Times New Roman" w:hAnsi="Times New Roman"/>
          <w:sz w:val="28"/>
          <w:szCs w:val="28"/>
          <w:lang w:eastAsia="ru-RU"/>
        </w:rPr>
        <w:t xml:space="preserve"> – Стратегическая матрица приоритетных факторов, обеспечивающих ускоренное и оптимальное развитие производительных сил в регионах-лидерах Приволжского федерального округа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1"/>
        <w:gridCol w:w="1017"/>
        <w:gridCol w:w="1017"/>
        <w:gridCol w:w="1016"/>
        <w:gridCol w:w="1016"/>
        <w:gridCol w:w="1016"/>
        <w:gridCol w:w="1016"/>
        <w:gridCol w:w="984"/>
        <w:gridCol w:w="1016"/>
        <w:gridCol w:w="1016"/>
        <w:gridCol w:w="1016"/>
        <w:gridCol w:w="984"/>
        <w:gridCol w:w="1005"/>
      </w:tblGrid>
      <w:tr w:rsidR="00E53C41" w:rsidRPr="00BA321C" w:rsidTr="001878CF">
        <w:trPr>
          <w:cantSplit/>
          <w:trHeight w:val="2652"/>
        </w:trPr>
        <w:tc>
          <w:tcPr>
            <w:tcW w:w="8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Транспорт</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демографический</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Труд</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ИКТ</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с/х</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промышленность</w:t>
            </w:r>
          </w:p>
        </w:tc>
        <w:tc>
          <w:tcPr>
            <w:tcW w:w="338"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энергетика</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Развитие рыночной инфраструктуры</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Инвестиционная привлекательность</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Наука и образование</w:t>
            </w:r>
          </w:p>
        </w:tc>
        <w:tc>
          <w:tcPr>
            <w:tcW w:w="338"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Криминальный фактор</w:t>
            </w:r>
          </w:p>
        </w:tc>
        <w:tc>
          <w:tcPr>
            <w:tcW w:w="349"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4"/>
                <w:szCs w:val="24"/>
                <w:lang w:eastAsia="ru-RU"/>
              </w:rPr>
            </w:pPr>
            <w:r w:rsidRPr="00BA321C">
              <w:rPr>
                <w:rFonts w:ascii="Times New Roman" w:hAnsi="Times New Roman"/>
                <w:sz w:val="24"/>
                <w:szCs w:val="24"/>
                <w:lang w:eastAsia="ru-RU"/>
              </w:rPr>
              <w:t>Экологическое благополучие</w:t>
            </w:r>
          </w:p>
        </w:tc>
      </w:tr>
      <w:tr w:rsidR="00E53C41" w:rsidRPr="00BA321C" w:rsidTr="001878CF">
        <w:tc>
          <w:tcPr>
            <w:tcW w:w="8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rFonts w:ascii="Times New Roman" w:hAnsi="Times New Roman"/>
                <w:sz w:val="24"/>
                <w:szCs w:val="24"/>
                <w:lang w:eastAsia="ru-RU"/>
              </w:rPr>
              <w:t>Республика Татарстан</w: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2" type="#_x0000_t75" style="width:36.75pt;height:35.25pt" o:ole="">
                  <v:imagedata r:id="rId58" o:title=""/>
                </v:shape>
                <o:OLEObject Type="Embed" ProgID="PBrush" ShapeID="_x0000_i1032" DrawAspect="Content" ObjectID="_1540044813" r:id="rId59"/>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3" type="#_x0000_t75" style="width:36.75pt;height:35.25pt" o:ole="">
                  <v:imagedata r:id="rId58" o:title=""/>
                </v:shape>
                <o:OLEObject Type="Embed" ProgID="PBrush" ShapeID="_x0000_i1033" DrawAspect="Content" ObjectID="_1540044814" r:id="rId60"/>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4" type="#_x0000_t75" style="width:36.75pt;height:35.25pt" o:ole="">
                  <v:imagedata r:id="rId58" o:title=""/>
                </v:shape>
                <o:OLEObject Type="Embed" ProgID="PBrush" ShapeID="_x0000_i1034" DrawAspect="Content" ObjectID="_1540044815" r:id="rId61"/>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5" type="#_x0000_t75" style="width:36.75pt;height:35.25pt" o:ole="">
                  <v:imagedata r:id="rId58" o:title=""/>
                </v:shape>
                <o:OLEObject Type="Embed" ProgID="PBrush" ShapeID="_x0000_i1035" DrawAspect="Content" ObjectID="_1540044816" r:id="rId62"/>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6" type="#_x0000_t75" style="width:36.75pt;height:35.25pt" o:ole="">
                  <v:imagedata r:id="rId58" o:title=""/>
                </v:shape>
                <o:OLEObject Type="Embed" ProgID="PBrush" ShapeID="_x0000_i1036" DrawAspect="Content" ObjectID="_1540044817" r:id="rId63"/>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7" type="#_x0000_t75" style="width:36.75pt;height:35.25pt" o:ole="">
                  <v:imagedata r:id="rId58" o:title=""/>
                </v:shape>
                <o:OLEObject Type="Embed" ProgID="PBrush" ShapeID="_x0000_i1037" DrawAspect="Content" ObjectID="_1540044818" r:id="rId64"/>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8" type="#_x0000_t75" style="width:36.75pt;height:35.25pt" o:ole="">
                  <v:imagedata r:id="rId58" o:title=""/>
                </v:shape>
                <o:OLEObject Type="Embed" ProgID="PBrush" ShapeID="_x0000_i1038" DrawAspect="Content" ObjectID="_1540044819" r:id="rId65"/>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39" type="#_x0000_t75" style="width:36.75pt;height:35.25pt" o:ole="">
                  <v:imagedata r:id="rId58" o:title=""/>
                </v:shape>
                <o:OLEObject Type="Embed" ProgID="PBrush" ShapeID="_x0000_i1039" DrawAspect="Content" ObjectID="_1540044820" r:id="rId66"/>
              </w:object>
            </w:r>
          </w:p>
        </w:tc>
      </w:tr>
      <w:tr w:rsidR="00E53C41" w:rsidRPr="00BA321C" w:rsidTr="001878CF">
        <w:tc>
          <w:tcPr>
            <w:tcW w:w="8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rFonts w:ascii="Times New Roman" w:hAnsi="Times New Roman"/>
                <w:sz w:val="24"/>
                <w:szCs w:val="24"/>
                <w:lang w:eastAsia="ru-RU"/>
              </w:rPr>
              <w:t>Самарская область</w: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0" type="#_x0000_t75" style="width:36.75pt;height:35.25pt" o:ole="">
                  <v:imagedata r:id="rId58" o:title=""/>
                </v:shape>
                <o:OLEObject Type="Embed" ProgID="PBrush" ShapeID="_x0000_i1040" DrawAspect="Content" ObjectID="_1540044821" r:id="rId67"/>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1" type="#_x0000_t75" style="width:36.75pt;height:35.25pt" o:ole="">
                  <v:imagedata r:id="rId58" o:title=""/>
                </v:shape>
                <o:OLEObject Type="Embed" ProgID="PBrush" ShapeID="_x0000_i1041" DrawAspect="Content" ObjectID="_1540044822" r:id="rId68"/>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2" type="#_x0000_t75" style="width:36.75pt;height:35.25pt" o:ole="">
                  <v:imagedata r:id="rId58" o:title=""/>
                </v:shape>
                <o:OLEObject Type="Embed" ProgID="PBrush" ShapeID="_x0000_i1042" DrawAspect="Content" ObjectID="_1540044823" r:id="rId69"/>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3" type="#_x0000_t75" style="width:36.75pt;height:35.25pt" o:ole="">
                  <v:imagedata r:id="rId58" o:title=""/>
                </v:shape>
                <o:OLEObject Type="Embed" ProgID="PBrush" ShapeID="_x0000_i1043" DrawAspect="Content" ObjectID="_1540044824" r:id="rId70"/>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4" type="#_x0000_t75" style="width:36.75pt;height:35.25pt" o:ole="">
                  <v:imagedata r:id="rId58" o:title=""/>
                </v:shape>
                <o:OLEObject Type="Embed" ProgID="PBrush" ShapeID="_x0000_i1044" DrawAspect="Content" ObjectID="_1540044825" r:id="rId71"/>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5" type="#_x0000_t75" style="width:36.75pt;height:35.25pt" o:ole="">
                  <v:imagedata r:id="rId58" o:title=""/>
                </v:shape>
                <o:OLEObject Type="Embed" ProgID="PBrush" ShapeID="_x0000_i1045" DrawAspect="Content" ObjectID="_1540044826" r:id="rId72"/>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6" type="#_x0000_t75" style="width:36.75pt;height:35.25pt" o:ole="">
                  <v:imagedata r:id="rId58" o:title=""/>
                </v:shape>
                <o:OLEObject Type="Embed" ProgID="PBrush" ShapeID="_x0000_i1046" DrawAspect="Content" ObjectID="_1540044827" r:id="rId73"/>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7" type="#_x0000_t75" style="width:36.75pt;height:35.25pt" o:ole="">
                  <v:imagedata r:id="rId58" o:title=""/>
                </v:shape>
                <o:OLEObject Type="Embed" ProgID="PBrush" ShapeID="_x0000_i1047" DrawAspect="Content" ObjectID="_1540044828" r:id="rId74"/>
              </w:object>
            </w:r>
          </w:p>
        </w:tc>
      </w:tr>
      <w:tr w:rsidR="00E53C41" w:rsidRPr="00BA321C" w:rsidTr="001878CF">
        <w:tc>
          <w:tcPr>
            <w:tcW w:w="8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rFonts w:ascii="Times New Roman" w:hAnsi="Times New Roman"/>
                <w:sz w:val="24"/>
                <w:szCs w:val="24"/>
                <w:lang w:eastAsia="ru-RU"/>
              </w:rPr>
              <w:t>Нижегородская область</w: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8" type="#_x0000_t75" style="width:36.75pt;height:35.25pt" o:ole="">
                  <v:imagedata r:id="rId58" o:title=""/>
                </v:shape>
                <o:OLEObject Type="Embed" ProgID="PBrush" ShapeID="_x0000_i1048" DrawAspect="Content" ObjectID="_1540044829" r:id="rId75"/>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49" type="#_x0000_t75" style="width:36.75pt;height:35.25pt" o:ole="">
                  <v:imagedata r:id="rId58" o:title=""/>
                </v:shape>
                <o:OLEObject Type="Embed" ProgID="PBrush" ShapeID="_x0000_i1049" DrawAspect="Content" ObjectID="_1540044830" r:id="rId76"/>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0" type="#_x0000_t75" style="width:36.75pt;height:35.25pt" o:ole="">
                  <v:imagedata r:id="rId58" o:title=""/>
                </v:shape>
                <o:OLEObject Type="Embed" ProgID="PBrush" ShapeID="_x0000_i1050" DrawAspect="Content" ObjectID="_1540044831" r:id="rId77"/>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1" type="#_x0000_t75" style="width:36.75pt;height:35.25pt" o:ole="">
                  <v:imagedata r:id="rId58" o:title=""/>
                </v:shape>
                <o:OLEObject Type="Embed" ProgID="PBrush" ShapeID="_x0000_i1051" DrawAspect="Content" ObjectID="_1540044832" r:id="rId78"/>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2" type="#_x0000_t75" style="width:36.75pt;height:35.25pt" o:ole="">
                  <v:imagedata r:id="rId58" o:title=""/>
                </v:shape>
                <o:OLEObject Type="Embed" ProgID="PBrush" ShapeID="_x0000_i1052" DrawAspect="Content" ObjectID="_1540044833" r:id="rId79"/>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3" type="#_x0000_t75" style="width:36.75pt;height:35.25pt" o:ole="">
                  <v:imagedata r:id="rId58" o:title=""/>
                </v:shape>
                <o:OLEObject Type="Embed" ProgID="PBrush" ShapeID="_x0000_i1053" DrawAspect="Content" ObjectID="_1540044834" r:id="rId80"/>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4" type="#_x0000_t75" style="width:36.75pt;height:35.25pt" o:ole="">
                  <v:imagedata r:id="rId58" o:title=""/>
                </v:shape>
                <o:OLEObject Type="Embed" ProgID="PBrush" ShapeID="_x0000_i1054" DrawAspect="Content" ObjectID="_1540044835" r:id="rId81"/>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5" type="#_x0000_t75" style="width:36.75pt;height:35.25pt" o:ole="">
                  <v:imagedata r:id="rId58" o:title=""/>
                </v:shape>
                <o:OLEObject Type="Embed" ProgID="PBrush" ShapeID="_x0000_i1055" DrawAspect="Content" ObjectID="_1540044836" r:id="rId82"/>
              </w:object>
            </w:r>
          </w:p>
        </w:tc>
      </w:tr>
      <w:tr w:rsidR="00E53C41" w:rsidRPr="00BA321C" w:rsidTr="001878CF">
        <w:tc>
          <w:tcPr>
            <w:tcW w:w="8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rFonts w:ascii="Times New Roman" w:hAnsi="Times New Roman"/>
                <w:sz w:val="24"/>
                <w:szCs w:val="24"/>
                <w:lang w:eastAsia="ru-RU"/>
              </w:rPr>
              <w:t>Республика Башкортостан</w: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6" type="#_x0000_t75" style="width:36.75pt;height:35.25pt" o:ole="">
                  <v:imagedata r:id="rId58" o:title=""/>
                </v:shape>
                <o:OLEObject Type="Embed" ProgID="PBrush" ShapeID="_x0000_i1056" DrawAspect="Content" ObjectID="_1540044837" r:id="rId83"/>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7" type="#_x0000_t75" style="width:36.75pt;height:35.25pt" o:ole="">
                  <v:imagedata r:id="rId58" o:title=""/>
                </v:shape>
                <o:OLEObject Type="Embed" ProgID="PBrush" ShapeID="_x0000_i1057" DrawAspect="Content" ObjectID="_1540044838" r:id="rId84"/>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8" type="#_x0000_t75" style="width:36.75pt;height:35.25pt" o:ole="">
                  <v:imagedata r:id="rId58" o:title=""/>
                </v:shape>
                <o:OLEObject Type="Embed" ProgID="PBrush" ShapeID="_x0000_i1058" DrawAspect="Content" ObjectID="_1540044839" r:id="rId85"/>
              </w:object>
            </w: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59" type="#_x0000_t75" style="width:36.75pt;height:35.25pt" o:ole="">
                  <v:imagedata r:id="rId58" o:title=""/>
                </v:shape>
                <o:OLEObject Type="Embed" ProgID="PBrush" ShapeID="_x0000_i1059" DrawAspect="Content" ObjectID="_1540044840" r:id="rId86"/>
              </w:object>
            </w: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38"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p>
        </w:tc>
        <w:tc>
          <w:tcPr>
            <w:tcW w:w="349"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4"/>
                <w:szCs w:val="24"/>
                <w:lang w:eastAsia="ru-RU"/>
              </w:rPr>
            </w:pPr>
            <w:r w:rsidRPr="00BA321C">
              <w:rPr>
                <w:sz w:val="28"/>
                <w:szCs w:val="28"/>
              </w:rPr>
              <w:object w:dxaOrig="7350" w:dyaOrig="7065">
                <v:shape id="_x0000_i1060" type="#_x0000_t75" style="width:36.75pt;height:35.25pt" o:ole="">
                  <v:imagedata r:id="rId58" o:title=""/>
                </v:shape>
                <o:OLEObject Type="Embed" ProgID="PBrush" ShapeID="_x0000_i1060" DrawAspect="Content" ObjectID="_1540044841" r:id="rId87"/>
              </w:object>
            </w:r>
          </w:p>
        </w:tc>
      </w:tr>
    </w:tbl>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sectPr w:rsidR="00F212F2" w:rsidRPr="00BA321C" w:rsidSect="00F212F2">
          <w:pgSz w:w="16838" w:h="11906" w:orient="landscape"/>
          <w:pgMar w:top="1701" w:right="1134" w:bottom="850" w:left="1134" w:header="708" w:footer="708" w:gutter="0"/>
          <w:cols w:space="708"/>
          <w:docGrid w:linePitch="360"/>
        </w:sectPr>
      </w:pP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lastRenderedPageBreak/>
        <w:t>Как ранее уже упоминалось для регионов, вошедших во вторую условную группу (Республика Марий Эл, Республика Мордовия, Удмуртская Республика, Чувашская Республика, Кировская область, Пензенская область, Оренбургская область и Ульяновская область) подходы к определению стратегических направлений развития производительных сил будут опираться на укрепление существующего потенциала факторов, определяющих социально-экономическую привлекательность территорий. При этом, конечно же, необходимо учитывать динамику их развития текущую и прогнозируемую. К примеру, ряд регионов, из числа рассматриваемых, демонстрируют очень высокие темпы роста, что может свидетельствовать об их «переходе» в более высоко развитую в социально-экономическом плане группу регионов в среднесрочной перспективе. К таким регионам необходимо отнести Республику Марий Эл и Пензенскую область. Главной стратегией развития производительных сил для них должно стать укрепление факторов их конкурентоспособности: дальнейшее развитие информационно-коммуникационного секторов экономики, а также наращивание их инвестиционной привлекательности.</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Вместе с тем, значительная часть регионов второй группы демонстрирует разбалансированность факторов социально-экономической привлекательности размещения и развития производительных сил, что требует внесения соответствующих корректировок государственного воздействия.</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В целом, учитывая вышеизложенный подход применительно к регионам второй группы стратегическая матрица развития приоритетных факторов, обеспечивающих ускоренное и оптимальное развитие производительных сил будет выглядеть следующим образом (</w:t>
      </w:r>
      <w:r w:rsidR="00941ED4" w:rsidRPr="00BA321C">
        <w:rPr>
          <w:rFonts w:ascii="Times New Roman" w:hAnsi="Times New Roman"/>
          <w:sz w:val="28"/>
          <w:szCs w:val="28"/>
          <w:lang w:eastAsia="ru-RU"/>
        </w:rPr>
        <w:t>таблица 3.2.2</w:t>
      </w:r>
      <w:r w:rsidRPr="00BA321C">
        <w:rPr>
          <w:rFonts w:ascii="Times New Roman" w:hAnsi="Times New Roman"/>
          <w:sz w:val="28"/>
          <w:szCs w:val="28"/>
          <w:lang w:eastAsia="ru-RU"/>
        </w:rPr>
        <w:t>).</w:t>
      </w: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sectPr w:rsidR="00F212F2" w:rsidRPr="00BA321C">
          <w:pgSz w:w="11906" w:h="16838"/>
          <w:pgMar w:top="1134" w:right="850" w:bottom="1134" w:left="1701" w:header="708" w:footer="708" w:gutter="0"/>
          <w:cols w:space="708"/>
          <w:docGrid w:linePitch="360"/>
        </w:sect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Таблица </w:t>
      </w:r>
      <w:r w:rsidR="00941ED4" w:rsidRPr="00BA321C">
        <w:rPr>
          <w:rFonts w:ascii="Times New Roman" w:hAnsi="Times New Roman"/>
          <w:sz w:val="28"/>
          <w:szCs w:val="28"/>
          <w:lang w:eastAsia="ru-RU"/>
        </w:rPr>
        <w:t>3.2.2</w:t>
      </w:r>
      <w:r w:rsidRPr="00BA321C">
        <w:rPr>
          <w:rFonts w:ascii="Times New Roman" w:hAnsi="Times New Roman"/>
          <w:sz w:val="28"/>
          <w:szCs w:val="28"/>
          <w:lang w:eastAsia="ru-RU"/>
        </w:rPr>
        <w:t xml:space="preserve"> – Стратегическая матрица приоритетных факторов, обеспечивающих ускоренное и оптимальное развитие производительных сил в регионах Приволжского федерального округа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28"/>
        <w:gridCol w:w="1093"/>
        <w:gridCol w:w="1093"/>
        <w:gridCol w:w="1092"/>
        <w:gridCol w:w="1092"/>
        <w:gridCol w:w="1092"/>
        <w:gridCol w:w="1057"/>
        <w:gridCol w:w="1092"/>
        <w:gridCol w:w="1092"/>
        <w:gridCol w:w="1092"/>
        <w:gridCol w:w="1057"/>
        <w:gridCol w:w="1080"/>
      </w:tblGrid>
      <w:tr w:rsidR="00E53C41" w:rsidRPr="00BA321C" w:rsidTr="001878CF">
        <w:trPr>
          <w:cantSplit/>
          <w:trHeight w:val="1710"/>
        </w:trPr>
        <w:tc>
          <w:tcPr>
            <w:tcW w:w="902"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Транспорт</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Труд</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ИКТ</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с/х</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промышленность</w:t>
            </w:r>
          </w:p>
        </w:tc>
        <w:tc>
          <w:tcPr>
            <w:tcW w:w="363"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энергетика</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Развитие рыночной инфраструктуры</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Инвестиционная привлекательность</w:t>
            </w:r>
          </w:p>
        </w:tc>
        <w:tc>
          <w:tcPr>
            <w:tcW w:w="375"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Наука и образование</w:t>
            </w:r>
          </w:p>
        </w:tc>
        <w:tc>
          <w:tcPr>
            <w:tcW w:w="363"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Криминальный фактор</w:t>
            </w:r>
          </w:p>
        </w:tc>
        <w:tc>
          <w:tcPr>
            <w:tcW w:w="371" w:type="pct"/>
            <w:shd w:val="clear" w:color="auto" w:fill="auto"/>
            <w:textDirection w:val="btLr"/>
            <w:vAlign w:val="center"/>
          </w:tcPr>
          <w:p w:rsidR="00F212F2" w:rsidRPr="00BA321C" w:rsidRDefault="00F212F2" w:rsidP="00BA321C">
            <w:pPr>
              <w:shd w:val="clear" w:color="auto" w:fill="FFFFFF" w:themeFill="background1"/>
              <w:spacing w:after="0" w:line="240" w:lineRule="auto"/>
              <w:ind w:left="113" w:right="113"/>
              <w:jc w:val="center"/>
              <w:rPr>
                <w:rFonts w:ascii="Times New Roman" w:hAnsi="Times New Roman"/>
                <w:sz w:val="20"/>
                <w:szCs w:val="20"/>
                <w:lang w:eastAsia="ru-RU"/>
              </w:rPr>
            </w:pPr>
            <w:r w:rsidRPr="00BA321C">
              <w:rPr>
                <w:rFonts w:ascii="Times New Roman" w:hAnsi="Times New Roman"/>
                <w:sz w:val="20"/>
                <w:szCs w:val="20"/>
                <w:lang w:eastAsia="ru-RU"/>
              </w:rPr>
              <w:t>Экологическое благополучие</w:t>
            </w: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Республика Марий Эл</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1" type="#_x0000_t75" style="width:23.25pt;height:22.5pt" o:ole="">
                  <v:imagedata r:id="rId58" o:title=""/>
                </v:shape>
                <o:OLEObject Type="Embed" ProgID="PBrush" ShapeID="_x0000_i1061" DrawAspect="Content" ObjectID="_1540044842" r:id="rId88"/>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2" type="#_x0000_t75" style="width:23.25pt;height:22.5pt" o:ole="">
                  <v:imagedata r:id="rId58" o:title=""/>
                </v:shape>
                <o:OLEObject Type="Embed" ProgID="PBrush" ShapeID="_x0000_i1062" DrawAspect="Content" ObjectID="_1540044843" r:id="rId89"/>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3" type="#_x0000_t75" style="width:23.25pt;height:22.5pt" o:ole="">
                  <v:imagedata r:id="rId58" o:title=""/>
                </v:shape>
                <o:OLEObject Type="Embed" ProgID="PBrush" ShapeID="_x0000_i1063" DrawAspect="Content" ObjectID="_1540044844" r:id="rId90"/>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4" type="#_x0000_t75" style="width:23.25pt;height:22.5pt" o:ole="">
                  <v:imagedata r:id="rId58" o:title=""/>
                </v:shape>
                <o:OLEObject Type="Embed" ProgID="PBrush" ShapeID="_x0000_i1064" DrawAspect="Content" ObjectID="_1540044845" r:id="rId91"/>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Республика Мордовия</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5" type="#_x0000_t75" style="width:23.25pt;height:22.5pt" o:ole="">
                  <v:imagedata r:id="rId58" o:title=""/>
                </v:shape>
                <o:OLEObject Type="Embed" ProgID="PBrush" ShapeID="_x0000_i1065" DrawAspect="Content" ObjectID="_1540044846" r:id="rId92"/>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6" type="#_x0000_t75" style="width:23.25pt;height:22.5pt" o:ole="">
                  <v:imagedata r:id="rId58" o:title=""/>
                </v:shape>
                <o:OLEObject Type="Embed" ProgID="PBrush" ShapeID="_x0000_i1066" DrawAspect="Content" ObjectID="_1540044847" r:id="rId93"/>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7" type="#_x0000_t75" style="width:23.25pt;height:22.5pt" o:ole="">
                  <v:imagedata r:id="rId58" o:title=""/>
                </v:shape>
                <o:OLEObject Type="Embed" ProgID="PBrush" ShapeID="_x0000_i1067" DrawAspect="Content" ObjectID="_1540044848" r:id="rId94"/>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8" type="#_x0000_t75" style="width:23.25pt;height:22.5pt" o:ole="">
                  <v:imagedata r:id="rId58" o:title=""/>
                </v:shape>
                <o:OLEObject Type="Embed" ProgID="PBrush" ShapeID="_x0000_i1068" DrawAspect="Content" ObjectID="_1540044849" r:id="rId95"/>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69" type="#_x0000_t75" style="width:23.25pt;height:22.5pt" o:ole="">
                  <v:imagedata r:id="rId58" o:title=""/>
                </v:shape>
                <o:OLEObject Type="Embed" ProgID="PBrush" ShapeID="_x0000_i1069" DrawAspect="Content" ObjectID="_1540044850" r:id="rId96"/>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Удмуртская Республика</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0" type="#_x0000_t75" style="width:23.25pt;height:22.5pt" o:ole="">
                  <v:imagedata r:id="rId58" o:title=""/>
                </v:shape>
                <o:OLEObject Type="Embed" ProgID="PBrush" ShapeID="_x0000_i1070" DrawAspect="Content" ObjectID="_1540044851" r:id="rId97"/>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1" type="#_x0000_t75" style="width:23.25pt;height:22.5pt" o:ole="">
                  <v:imagedata r:id="rId58" o:title=""/>
                </v:shape>
                <o:OLEObject Type="Embed" ProgID="PBrush" ShapeID="_x0000_i1071" DrawAspect="Content" ObjectID="_1540044852" r:id="rId98"/>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2" type="#_x0000_t75" style="width:23.25pt;height:22.5pt" o:ole="">
                  <v:imagedata r:id="rId58" o:title=""/>
                </v:shape>
                <o:OLEObject Type="Embed" ProgID="PBrush" ShapeID="_x0000_i1072" DrawAspect="Content" ObjectID="_1540044853" r:id="rId99"/>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3" type="#_x0000_t75" style="width:23.25pt;height:22.5pt" o:ole="">
                  <v:imagedata r:id="rId58" o:title=""/>
                </v:shape>
                <o:OLEObject Type="Embed" ProgID="PBrush" ShapeID="_x0000_i1073" DrawAspect="Content" ObjectID="_1540044854" r:id="rId100"/>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Чувашская Республика</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4" type="#_x0000_t75" style="width:23.25pt;height:22.5pt" o:ole="">
                  <v:imagedata r:id="rId58" o:title=""/>
                </v:shape>
                <o:OLEObject Type="Embed" ProgID="PBrush" ShapeID="_x0000_i1074" DrawAspect="Content" ObjectID="_1540044855" r:id="rId101"/>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5" type="#_x0000_t75" style="width:23.25pt;height:22.5pt" o:ole="">
                  <v:imagedata r:id="rId58" o:title=""/>
                </v:shape>
                <o:OLEObject Type="Embed" ProgID="PBrush" ShapeID="_x0000_i1075" DrawAspect="Content" ObjectID="_1540044856" r:id="rId102"/>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6" type="#_x0000_t75" style="width:23.25pt;height:22.5pt" o:ole="">
                  <v:imagedata r:id="rId58" o:title=""/>
                </v:shape>
                <o:OLEObject Type="Embed" ProgID="PBrush" ShapeID="_x0000_i1076" DrawAspect="Content" ObjectID="_1540044857" r:id="rId103"/>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7" type="#_x0000_t75" style="width:23.25pt;height:22.5pt" o:ole="">
                  <v:imagedata r:id="rId58" o:title=""/>
                </v:shape>
                <o:OLEObject Type="Embed" ProgID="PBrush" ShapeID="_x0000_i1077" DrawAspect="Content" ObjectID="_1540044858" r:id="rId104"/>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Пермский край</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8" type="#_x0000_t75" style="width:23.25pt;height:22.5pt" o:ole="">
                  <v:imagedata r:id="rId58" o:title=""/>
                </v:shape>
                <o:OLEObject Type="Embed" ProgID="PBrush" ShapeID="_x0000_i1078" DrawAspect="Content" ObjectID="_1540044859" r:id="rId105"/>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79" type="#_x0000_t75" style="width:23.25pt;height:22.5pt" o:ole="">
                  <v:imagedata r:id="rId58" o:title=""/>
                </v:shape>
                <o:OLEObject Type="Embed" ProgID="PBrush" ShapeID="_x0000_i1079" DrawAspect="Content" ObjectID="_1540044860" r:id="rId106"/>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0" type="#_x0000_t75" style="width:23.25pt;height:22.5pt" o:ole="">
                  <v:imagedata r:id="rId58" o:title=""/>
                </v:shape>
                <o:OLEObject Type="Embed" ProgID="PBrush" ShapeID="_x0000_i1080" DrawAspect="Content" ObjectID="_1540044861" r:id="rId107"/>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1" type="#_x0000_t75" style="width:23.25pt;height:22.5pt" o:ole="">
                  <v:imagedata r:id="rId58" o:title=""/>
                </v:shape>
                <o:OLEObject Type="Embed" ProgID="PBrush" ShapeID="_x0000_i1081" DrawAspect="Content" ObjectID="_1540044862" r:id="rId108"/>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2" type="#_x0000_t75" style="width:23.25pt;height:22.5pt" o:ole="">
                  <v:imagedata r:id="rId58" o:title=""/>
                </v:shape>
                <o:OLEObject Type="Embed" ProgID="PBrush" ShapeID="_x0000_i1082" DrawAspect="Content" ObjectID="_1540044863" r:id="rId109"/>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Кировская область</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3" type="#_x0000_t75" style="width:23.25pt;height:22.5pt" o:ole="">
                  <v:imagedata r:id="rId58" o:title=""/>
                </v:shape>
                <o:OLEObject Type="Embed" ProgID="PBrush" ShapeID="_x0000_i1083" DrawAspect="Content" ObjectID="_1540044864" r:id="rId110"/>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4" type="#_x0000_t75" style="width:23.25pt;height:22.5pt" o:ole="">
                  <v:imagedata r:id="rId58" o:title=""/>
                </v:shape>
                <o:OLEObject Type="Embed" ProgID="PBrush" ShapeID="_x0000_i1084" DrawAspect="Content" ObjectID="_1540044865" r:id="rId111"/>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5" type="#_x0000_t75" style="width:23.25pt;height:22.5pt" o:ole="">
                  <v:imagedata r:id="rId58" o:title=""/>
                </v:shape>
                <o:OLEObject Type="Embed" ProgID="PBrush" ShapeID="_x0000_i1085" DrawAspect="Content" ObjectID="_1540044866" r:id="rId112"/>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6" type="#_x0000_t75" style="width:23.25pt;height:22.5pt" o:ole="">
                  <v:imagedata r:id="rId58" o:title=""/>
                </v:shape>
                <o:OLEObject Type="Embed" ProgID="PBrush" ShapeID="_x0000_i1086" DrawAspect="Content" ObjectID="_1540044867" r:id="rId113"/>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Оренбургская область</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7" type="#_x0000_t75" style="width:23.25pt;height:22.5pt" o:ole="">
                  <v:imagedata r:id="rId58" o:title=""/>
                </v:shape>
                <o:OLEObject Type="Embed" ProgID="PBrush" ShapeID="_x0000_i1087" DrawAspect="Content" ObjectID="_1540044868" r:id="rId114"/>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8" type="#_x0000_t75" style="width:23.25pt;height:22.5pt" o:ole="">
                  <v:imagedata r:id="rId58" o:title=""/>
                </v:shape>
                <o:OLEObject Type="Embed" ProgID="PBrush" ShapeID="_x0000_i1088" DrawAspect="Content" ObjectID="_1540044869" r:id="rId115"/>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89" type="#_x0000_t75" style="width:23.25pt;height:22.5pt" o:ole="">
                  <v:imagedata r:id="rId58" o:title=""/>
                </v:shape>
                <o:OLEObject Type="Embed" ProgID="PBrush" ShapeID="_x0000_i1089" DrawAspect="Content" ObjectID="_1540044870" r:id="rId116"/>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Пензенская область</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0" type="#_x0000_t75" style="width:23.25pt;height:22.5pt" o:ole="">
                  <v:imagedata r:id="rId58" o:title=""/>
                </v:shape>
                <o:OLEObject Type="Embed" ProgID="PBrush" ShapeID="_x0000_i1090" DrawAspect="Content" ObjectID="_1540044871" r:id="rId117"/>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1" type="#_x0000_t75" style="width:23.25pt;height:22.5pt" o:ole="">
                  <v:imagedata r:id="rId58" o:title=""/>
                </v:shape>
                <o:OLEObject Type="Embed" ProgID="PBrush" ShapeID="_x0000_i1091" DrawAspect="Content" ObjectID="_1540044872" r:id="rId118"/>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 xml:space="preserve">Саратовская область </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2" type="#_x0000_t75" style="width:23.25pt;height:22.5pt" o:ole="">
                  <v:imagedata r:id="rId58" o:title=""/>
                </v:shape>
                <o:OLEObject Type="Embed" ProgID="PBrush" ShapeID="_x0000_i1092" DrawAspect="Content" ObjectID="_1540044873" r:id="rId119"/>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3" type="#_x0000_t75" style="width:23.25pt;height:22.5pt" o:ole="">
                  <v:imagedata r:id="rId58" o:title=""/>
                </v:shape>
                <o:OLEObject Type="Embed" ProgID="PBrush" ShapeID="_x0000_i1093" DrawAspect="Content" ObjectID="_1540044874" r:id="rId120"/>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4" type="#_x0000_t75" style="width:23.25pt;height:22.5pt" o:ole="">
                  <v:imagedata r:id="rId58" o:title=""/>
                </v:shape>
                <o:OLEObject Type="Embed" ProgID="PBrush" ShapeID="_x0000_i1094" DrawAspect="Content" ObjectID="_1540044875" r:id="rId121"/>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5" type="#_x0000_t75" style="width:23.25pt;height:22.5pt" o:ole="">
                  <v:imagedata r:id="rId58" o:title=""/>
                </v:shape>
                <o:OLEObject Type="Embed" ProgID="PBrush" ShapeID="_x0000_i1095" DrawAspect="Content" ObjectID="_1540044876" r:id="rId122"/>
              </w:object>
            </w:r>
          </w:p>
        </w:tc>
      </w:tr>
      <w:tr w:rsidR="00E53C41" w:rsidRPr="00BA321C" w:rsidTr="001878CF">
        <w:tc>
          <w:tcPr>
            <w:tcW w:w="902" w:type="pct"/>
            <w:shd w:val="clear" w:color="auto" w:fill="auto"/>
            <w:vAlign w:val="center"/>
          </w:tcPr>
          <w:p w:rsidR="00F212F2" w:rsidRPr="00BA321C" w:rsidRDefault="00F212F2" w:rsidP="00BA321C">
            <w:pPr>
              <w:shd w:val="clear" w:color="auto" w:fill="FFFFFF" w:themeFill="background1"/>
              <w:spacing w:after="0" w:line="240" w:lineRule="auto"/>
              <w:ind w:left="113" w:right="113"/>
              <w:jc w:val="both"/>
              <w:rPr>
                <w:rFonts w:ascii="Times New Roman" w:hAnsi="Times New Roman"/>
                <w:sz w:val="20"/>
                <w:szCs w:val="20"/>
                <w:lang w:eastAsia="ru-RU"/>
              </w:rPr>
            </w:pPr>
            <w:r w:rsidRPr="00BA321C">
              <w:rPr>
                <w:rFonts w:ascii="Times New Roman" w:hAnsi="Times New Roman"/>
                <w:sz w:val="20"/>
                <w:szCs w:val="20"/>
                <w:lang w:eastAsia="ru-RU"/>
              </w:rPr>
              <w:t>Ульяновская область</w: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6" type="#_x0000_t75" style="width:23.25pt;height:22.5pt" o:ole="">
                  <v:imagedata r:id="rId58" o:title=""/>
                </v:shape>
                <o:OLEObject Type="Embed" ProgID="PBrush" ShapeID="_x0000_i1096" DrawAspect="Content" ObjectID="_1540044877" r:id="rId123"/>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7" type="#_x0000_t75" style="width:23.25pt;height:22.5pt" o:ole="">
                  <v:imagedata r:id="rId58" o:title=""/>
                </v:shape>
                <o:OLEObject Type="Embed" ProgID="PBrush" ShapeID="_x0000_i1097" DrawAspect="Content" ObjectID="_1540044878" r:id="rId124"/>
              </w:object>
            </w:r>
          </w:p>
        </w:tc>
        <w:tc>
          <w:tcPr>
            <w:tcW w:w="375"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r w:rsidRPr="00BA321C">
              <w:object w:dxaOrig="7350" w:dyaOrig="7065">
                <v:shape id="_x0000_i1098" type="#_x0000_t75" style="width:23.25pt;height:22.5pt" o:ole="">
                  <v:imagedata r:id="rId58" o:title=""/>
                </v:shape>
                <o:OLEObject Type="Embed" ProgID="PBrush" ShapeID="_x0000_i1098" DrawAspect="Content" ObjectID="_1540044879" r:id="rId125"/>
              </w:object>
            </w:r>
          </w:p>
        </w:tc>
        <w:tc>
          <w:tcPr>
            <w:tcW w:w="363"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c>
          <w:tcPr>
            <w:tcW w:w="371" w:type="pct"/>
            <w:shd w:val="clear" w:color="auto" w:fill="auto"/>
          </w:tcPr>
          <w:p w:rsidR="00F212F2" w:rsidRPr="00BA321C" w:rsidRDefault="00F212F2" w:rsidP="00BA321C">
            <w:pPr>
              <w:shd w:val="clear" w:color="auto" w:fill="FFFFFF" w:themeFill="background1"/>
              <w:spacing w:after="0" w:line="360" w:lineRule="auto"/>
              <w:jc w:val="both"/>
              <w:rPr>
                <w:rFonts w:ascii="Times New Roman" w:hAnsi="Times New Roman"/>
                <w:sz w:val="20"/>
                <w:szCs w:val="20"/>
                <w:lang w:eastAsia="ru-RU"/>
              </w:rPr>
            </w:pPr>
          </w:p>
        </w:tc>
      </w:tr>
    </w:tbl>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pPr>
    </w:p>
    <w:p w:rsidR="00F212F2" w:rsidRPr="00BA321C" w:rsidRDefault="00F212F2" w:rsidP="00BA321C">
      <w:pPr>
        <w:shd w:val="clear" w:color="auto" w:fill="FFFFFF" w:themeFill="background1"/>
        <w:spacing w:after="0" w:line="360" w:lineRule="auto"/>
        <w:jc w:val="both"/>
        <w:rPr>
          <w:rFonts w:ascii="Times New Roman" w:hAnsi="Times New Roman"/>
          <w:sz w:val="28"/>
          <w:szCs w:val="28"/>
          <w:lang w:eastAsia="ru-RU"/>
        </w:rPr>
        <w:sectPr w:rsidR="00F212F2" w:rsidRPr="00BA321C" w:rsidSect="00F212F2">
          <w:pgSz w:w="16838" w:h="11906" w:orient="landscape"/>
          <w:pgMar w:top="1701" w:right="1134" w:bottom="850" w:left="1134" w:header="708" w:footer="708" w:gutter="0"/>
          <w:cols w:space="708"/>
          <w:docGrid w:linePitch="360"/>
        </w:sectPr>
      </w:pP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Обращает на себя внимание то, что все регионы второй группы нуждаются в дальнейшем развитии и укреплении промышленного потенциала, а также в формировании и интенсификации условий, способствующих росту инвестиционной привлекательности. </w:t>
      </w:r>
    </w:p>
    <w:p w:rsidR="00F212F2" w:rsidRPr="00BA321C" w:rsidRDefault="00F212F2"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lang w:eastAsia="ru-RU"/>
        </w:rPr>
        <w:t>К примеру, в Ульяновской области необходимо сосредоточить усилия на развитии авиастроительного и автомобильного секторов экономики. При этом такое развитие должно концентрироваться в направлении внедрения технологических инноваций. Учитывая значительную роль в развитии социально-экономической привлекательности фактора «Наука и образование» актуальность рассматриваемого направления усиливает свою значимость.</w:t>
      </w:r>
    </w:p>
    <w:p w:rsidR="0008776E" w:rsidRPr="00BA321C" w:rsidRDefault="0008776E" w:rsidP="00BA321C">
      <w:pPr>
        <w:shd w:val="clear" w:color="auto" w:fill="FFFFFF" w:themeFill="background1"/>
        <w:spacing w:after="0" w:line="360" w:lineRule="auto"/>
        <w:ind w:firstLine="851"/>
        <w:jc w:val="both"/>
        <w:rPr>
          <w:rFonts w:ascii="Times New Roman" w:hAnsi="Times New Roman"/>
          <w:sz w:val="28"/>
          <w:szCs w:val="28"/>
          <w:lang w:eastAsia="ru-RU"/>
        </w:rPr>
      </w:pPr>
    </w:p>
    <w:p w:rsidR="000770D9" w:rsidRPr="00BA321C" w:rsidRDefault="000770D9" w:rsidP="00BA321C">
      <w:pPr>
        <w:shd w:val="clear" w:color="auto" w:fill="FFFFFF" w:themeFill="background1"/>
        <w:spacing w:after="0" w:line="360" w:lineRule="auto"/>
        <w:ind w:firstLine="851"/>
        <w:jc w:val="both"/>
        <w:rPr>
          <w:rFonts w:ascii="Times New Roman" w:hAnsi="Times New Roman"/>
          <w:sz w:val="28"/>
          <w:szCs w:val="28"/>
        </w:rPr>
      </w:pPr>
    </w:p>
    <w:p w:rsidR="000770D9" w:rsidRPr="00BA321C" w:rsidRDefault="000770D9" w:rsidP="00BA321C">
      <w:pPr>
        <w:shd w:val="clear" w:color="auto" w:fill="FFFFFF" w:themeFill="background1"/>
        <w:spacing w:after="0" w:line="360" w:lineRule="auto"/>
        <w:ind w:firstLine="851"/>
        <w:jc w:val="both"/>
        <w:rPr>
          <w:rFonts w:ascii="Times New Roman" w:hAnsi="Times New Roman"/>
          <w:sz w:val="28"/>
          <w:szCs w:val="28"/>
        </w:rPr>
      </w:pPr>
    </w:p>
    <w:p w:rsidR="00941ED4" w:rsidRPr="00BA321C" w:rsidRDefault="00941ED4"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CC76B0" w:rsidRPr="00BA321C" w:rsidRDefault="00CC76B0" w:rsidP="00BA321C">
      <w:pPr>
        <w:shd w:val="clear" w:color="auto" w:fill="FFFFFF" w:themeFill="background1"/>
        <w:spacing w:after="0" w:line="360" w:lineRule="auto"/>
        <w:ind w:firstLine="851"/>
        <w:jc w:val="both"/>
        <w:rPr>
          <w:rFonts w:ascii="Times New Roman" w:hAnsi="Times New Roman"/>
          <w:sz w:val="28"/>
          <w:szCs w:val="28"/>
        </w:rPr>
      </w:pPr>
    </w:p>
    <w:p w:rsidR="00941ED4" w:rsidRPr="00BA321C" w:rsidRDefault="00941ED4" w:rsidP="00BA321C">
      <w:pPr>
        <w:shd w:val="clear" w:color="auto" w:fill="FFFFFF" w:themeFill="background1"/>
        <w:spacing w:after="0" w:line="360" w:lineRule="auto"/>
        <w:ind w:firstLine="851"/>
        <w:jc w:val="both"/>
        <w:rPr>
          <w:rFonts w:ascii="Times New Roman" w:hAnsi="Times New Roman"/>
          <w:sz w:val="28"/>
          <w:szCs w:val="28"/>
        </w:rPr>
      </w:pPr>
    </w:p>
    <w:p w:rsidR="00941ED4" w:rsidRPr="00BA321C" w:rsidRDefault="00941ED4" w:rsidP="00BA321C">
      <w:pPr>
        <w:shd w:val="clear" w:color="auto" w:fill="FFFFFF" w:themeFill="background1"/>
        <w:spacing w:after="0" w:line="360" w:lineRule="auto"/>
        <w:ind w:firstLine="851"/>
        <w:jc w:val="both"/>
        <w:rPr>
          <w:rFonts w:ascii="Times New Roman" w:hAnsi="Times New Roman"/>
          <w:sz w:val="28"/>
          <w:szCs w:val="28"/>
        </w:rPr>
      </w:pPr>
    </w:p>
    <w:p w:rsidR="00665B80" w:rsidRPr="00BA321C" w:rsidRDefault="00665B80" w:rsidP="00C35E98">
      <w:pPr>
        <w:pStyle w:val="3"/>
        <w:jc w:val="center"/>
      </w:pPr>
      <w:bookmarkStart w:id="14" w:name="_Toc451869597"/>
      <w:r w:rsidRPr="00BA321C">
        <w:lastRenderedPageBreak/>
        <w:t>Заключение</w:t>
      </w:r>
      <w:bookmarkEnd w:id="14"/>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Современные условия хозяйствования диктуют такие условия индустриально-промышленного развития, которые бы всецело соответствовали принципам рациональности и развивались в русле механизмов и принципов функционирования рыночной экономики. Прежние, административно-командные принципы регулирования региональной экономики, основанные, в том числе, и на развитии производительных сил, не способны в полной мере обеспечить их эффективность развития и конкурентоспособность на мировых рынках. В связи с этим актуальными и крайне востребованными стали вопросы разработки таких инструментов и научно-обоснованных методологических подходов, которые бы были способны решить целый ряд задач, направленных на выявление и определение перспектив и обоснованности организационно-экономических механизмов размещения и развития производительных сил на тех или иных территориях. </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Решение подобных вопросов имеет свои особенности, обусловленные целым рядом факторов, определяющих эффективность поиска всевозможных, наиболее оптимальных, решений целевых задач. Поиск таких решений являлся одним из ключевых исследовательских «полей» различных теорий и представителей экономической мысли, начиная от представителей классической теории и заканчивая современными научными течениями (теории кумулятивного роста и др.). </w:t>
      </w:r>
    </w:p>
    <w:p w:rsidR="00AC76E4" w:rsidRPr="00BA321C" w:rsidRDefault="00AC76E4" w:rsidP="00BA321C">
      <w:pPr>
        <w:shd w:val="clear" w:color="auto" w:fill="FFFFFF" w:themeFill="background1"/>
        <w:spacing w:after="0" w:line="360" w:lineRule="auto"/>
        <w:ind w:firstLine="709"/>
        <w:jc w:val="both"/>
        <w:rPr>
          <w:rFonts w:ascii="Times New Roman" w:hAnsi="Times New Roman"/>
          <w:sz w:val="28"/>
          <w:szCs w:val="28"/>
        </w:rPr>
      </w:pPr>
      <w:r w:rsidRPr="00BA321C">
        <w:rPr>
          <w:rFonts w:ascii="Times New Roman" w:hAnsi="Times New Roman"/>
          <w:sz w:val="28"/>
          <w:szCs w:val="28"/>
        </w:rPr>
        <w:t xml:space="preserve">В целом, более поздние школы экономической теории схожи в представлении о том, что вопрос управления организационно-экономическим развитием производительных сил региона носит комплексный характер. Его исследование не должно ограничиваться сугубо количественными характеристиками измерения роста производства. Так, к примеру, Самуэльсон П. в своих трудах утверждал «нельзя стремится лишь к простому количественному росту производства (пусть даже в расчете на душу населения). Необходимо также внутреннее развитие всей социально-экономической структуры общества» [24]. Данное утверждение, на наш </w:t>
      </w:r>
      <w:r w:rsidRPr="00BA321C">
        <w:rPr>
          <w:rFonts w:ascii="Times New Roman" w:hAnsi="Times New Roman"/>
          <w:sz w:val="28"/>
          <w:szCs w:val="28"/>
        </w:rPr>
        <w:lastRenderedPageBreak/>
        <w:t xml:space="preserve">взгляд, является абсолютно справедливым. Особую актуальность ему придает то, что ориентация экономических взглядов на только лишь количественный рост может нести в себе целый ряд угроз, порождающих известные и крайне актуальные для сегодняшнего времени риски: экологические, социальные, сырьевые и др. Таким образом, в основе изучения форм, методов и инструментов управления организационно-экономическим развитием производительных сил региона должны выступать принципы всеобъемлемости, системности, комплексности. Именно они позволяют осуществлять всестороннюю оценку социально-экономической эффективности размещения производительных сил с учетом факторов минимизации социальных, энергетических, сырьевых и других глобальных рисков развития территориальных образований. </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Вместе с тем, в рамках существующих экономических теорий регионального развития акценты ставятся, преимущественно, на изучение факторов экономического роста. По всей видимости этот подход в какой то мере является наследием советской школы. В целом можно отметить, что в научных школах советской эпохи, занимающихся исследованиями в области развития региональной экономики и размещения производительных сил, несмотря на все отмеченные ранее достоинства и недостатки, недостаточно внимания уделялось вопросам учета социальных, экологических факторов при выборе и научном обосновании регионального развития. Кроме того, незначительный удельный вес в исследованиях составляли такие важные проблемы, как развитие инфраструктурной, инновационной, коммуникационной среды. Все же, по мере эволюционного развития хозяйственной среды, происходили постепенные сдвиги в сторону учета регионального фактора при определении стратегии и принципов социально-экономического развития государства. К примеру, на рубеже 80-ых значительно расширилось внимание вопросам экологического и социального развития, а также усилилось внимание вопросам межрегиональных отношений, и механизмам регионального развития. </w:t>
      </w:r>
    </w:p>
    <w:p w:rsidR="00614DC2" w:rsidRPr="00BA321C" w:rsidRDefault="00AC76E4"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rPr>
        <w:lastRenderedPageBreak/>
        <w:t xml:space="preserve">На наш взгляд при выборе инструментов и методов управления развитием производительных сил регионов и их пространственного развития необходимо учитывать целый комплекс факторов, характеризующих и определяющих их социально-экономический потенциал и привлекательность. При этом данные факторы не должны ограничиваться сугубо экономическим набором показателей, отражающих качество экономического роста. Управление организационно-экономическим развитием производительных сил региона должно во многом опираться и на показатели социального и экологического благополучия. </w:t>
      </w:r>
      <w:r w:rsidR="00614DC2" w:rsidRPr="00BA321C">
        <w:rPr>
          <w:rFonts w:ascii="Times New Roman" w:hAnsi="Times New Roman"/>
          <w:sz w:val="28"/>
          <w:szCs w:val="28"/>
        </w:rPr>
        <w:t>В связи с вышеизложенным, по нашему мнению, организационно-экономическое развитие региональных производительных сил основывается и во многом обусловлено демографическим потенциалом, формирующимся на основе складывающейся системы расселения региона, энергетическим потенциалом, уровнем развития транспортной инфраструктуры, степенью развития трудовых ресурсов, развитием информационно-коммуникационных технологий, сельскохозяйственным потенциалом, промышленным потенциалом, уровнем развития рыночной инфраструктуры, инвестиционной привлекательностью, научно-образовательным потенциалом, степенью развития криминогенных факторов, степенью экологического благополучия.</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lang w:eastAsia="ru-RU"/>
        </w:rPr>
      </w:pPr>
      <w:r w:rsidRPr="00BA321C">
        <w:rPr>
          <w:rFonts w:ascii="Times New Roman" w:hAnsi="Times New Roman"/>
          <w:sz w:val="28"/>
          <w:szCs w:val="28"/>
        </w:rPr>
        <w:t xml:space="preserve">Учитывая вышеизложенный авторский подход к изучению организации размещения и развития региональных производительных сил в диссертационном исследовании разработаны и представлены методические подходы к оценке социально-экономической привлекательности регионов, как стратегического ориентира при выработке управленческих решений о целесообразности и перспективах развития тех или иных видов производительных сил на территориях тех или иных регионов, отличающихся набором параметров, характеризующих их комплексную конкурентоспособность. Результаты апробации данной методики на примере регионов Приволжского федерального округа показывают, что наибольшим потенциалом модернизационного индустриально-промышленного развития </w:t>
      </w:r>
      <w:r w:rsidRPr="00BA321C">
        <w:rPr>
          <w:rFonts w:ascii="Times New Roman" w:hAnsi="Times New Roman"/>
          <w:sz w:val="28"/>
          <w:szCs w:val="28"/>
        </w:rPr>
        <w:lastRenderedPageBreak/>
        <w:t xml:space="preserve">обладают такие регионы ПФО, как </w:t>
      </w:r>
      <w:r w:rsidRPr="00BA321C">
        <w:rPr>
          <w:rFonts w:ascii="Times New Roman" w:hAnsi="Times New Roman"/>
          <w:sz w:val="28"/>
          <w:szCs w:val="28"/>
          <w:lang w:eastAsia="ru-RU"/>
        </w:rPr>
        <w:t>Республика Татарстан, Самарская область, Саратовская область, Нижегородская область, Пермский край и Республика Башкортостан. Данная группа регионов характеризуется повышенным уровнем значений факторов, генерирующих высокий уровень конкурентоспособности и повышенную динамику социально-экономического роста. Ко второй группе регионов были отнесены: Оренбургская область, Пензенская область, Чувашская Республика, Ульяновская область, Удмуртская Республика, Республика Мордовия, Кировская область и Республика Марий Эл. Регионы, вошедшие в рассматриваемую группу, обладают недостаточным уровнем конкурентоспособности, а также характеризуются посредственной динамикой социально-экономического развития на фоне регионов-лидеров.</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В качестве дополнительного критерия оценки перспектив развития инновационно-модернизационных производительных сил в регионах Приволжского федерального округа выступил в диссертационном исследовании демографический потенциал изучаемых территорий. Связано это, в первую очередь, с тем, что перспективы территориального развития производительных сил во многом основываются на демографическом профиле регионов. Эффективность их развития не может не основываться на понимании существующих и прогнозируемых демографических трендов, во многом определяющих потенциал использования производительных сил. Таким образом при решении организационно-экономических задач размещения региональных и территориальных производительных сил необходимо учитывать целый спектр характеристик демографических тенденций. К ним необходимо отнести, в первую очередь, в контексте изучаемого предмета исследования, сложившийся и формирующийся тип городского расселения, а также присущие ему положительные или отрицательные тренды.</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Результаты проведенного исследования позволяют предположить, что на текущий и перспективный моменты времени наиболее приоритетными </w:t>
      </w:r>
      <w:r w:rsidRPr="00BA321C">
        <w:rPr>
          <w:rFonts w:ascii="Times New Roman" w:hAnsi="Times New Roman"/>
          <w:sz w:val="28"/>
          <w:szCs w:val="28"/>
        </w:rPr>
        <w:lastRenderedPageBreak/>
        <w:t>регионами ПФО, с точки зрения развития промышленного индустриального потенциала, являются Республика Татарстан, Самарская и Нижегородская области. Именно они, по сути образовывают «каркас» демографического профиля Приволжского федерального округа, генерирующего потенциал развития производительных сил. Вместе с тем необходимо заметить, что стремительный рост «качества» демографического потенциала Республики Башкортостан (рост доли населения городов до 12,4% в 2010г.) также предопределяет вхождение данного региона в так называемый «каркас» демографического потенциала ПФО.</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Оценивая имеющиеся «активы» и «пассивы» трех ведущих регионов необходимо заметить, что все они демонстрируют значительную экономическую активность населения. К примеру, в Республике Татарстан данный показатель достигал в 2010г. 71,0%, в Нижегородской области – 72,6%, а в Самарской области – 70,9%. </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К активам рассматриваемых регионов необходимо также отнести и то, что все они представлены городами различных размерных групп, что определяет высокий уровень потенциала мобильности трудовых ресурсов. Структура городского населения в соответствии с типом городского расселения. Именно сложившийся в рассматриваемых регионах тип городского расселения является, на наш взгляд, наиболее перспективным с точки зрения промышленно-индустриального развития производительных сил. Связано это в первую очередь с устойчивостью развития всех возможных групп городов, каждая из которых способна генерировать различные уровни развития производительных сил.</w:t>
      </w:r>
    </w:p>
    <w:p w:rsidR="00585FF7" w:rsidRPr="00BA321C" w:rsidRDefault="00585FF7"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 xml:space="preserve">Динамика значений анализируемых социально-экономических показателей за период 2005-2014 годы в явном виде указывает на то, что в Приволжском федеральном округе сформировались две укрупненные однородные по степени социально-экономической привлекательности группы регионов. В первую группу вошли регионы, значения сводного интегрального индекса социально-экономической привлекательности (индекс СЭП) которых </w:t>
      </w:r>
      <w:r w:rsidRPr="00BA321C">
        <w:rPr>
          <w:rFonts w:ascii="Times New Roman" w:hAnsi="Times New Roman"/>
          <w:sz w:val="28"/>
          <w:szCs w:val="28"/>
          <w:lang w:eastAsia="ru-RU"/>
        </w:rPr>
        <w:lastRenderedPageBreak/>
        <w:t xml:space="preserve">выше 50 баллов. К ним относятся Республика Татарстан, Самарская область, Нижегородская область, Пермский край и Республика Башкортостан. Данная группа регионов характеризуется повышенным уровнем значений факторов, генерирующих высокий уровень конкурентоспособности и повышенную динамику социально-экономической привлекательности для развития производительных сил. </w:t>
      </w:r>
    </w:p>
    <w:p w:rsidR="00585FF7" w:rsidRPr="00BA321C" w:rsidRDefault="00585FF7" w:rsidP="00BA321C">
      <w:pPr>
        <w:shd w:val="clear" w:color="auto" w:fill="FFFFFF" w:themeFill="background1"/>
        <w:spacing w:after="0" w:line="360" w:lineRule="auto"/>
        <w:ind w:firstLine="567"/>
        <w:jc w:val="both"/>
        <w:rPr>
          <w:rFonts w:ascii="Times New Roman" w:hAnsi="Times New Roman"/>
          <w:sz w:val="28"/>
          <w:szCs w:val="28"/>
          <w:lang w:eastAsia="ru-RU"/>
        </w:rPr>
      </w:pPr>
      <w:r w:rsidRPr="00BA321C">
        <w:rPr>
          <w:rFonts w:ascii="Times New Roman" w:hAnsi="Times New Roman"/>
          <w:sz w:val="28"/>
          <w:szCs w:val="28"/>
          <w:lang w:eastAsia="ru-RU"/>
        </w:rPr>
        <w:t xml:space="preserve">Ко второй группе регионов были отнесены: </w:t>
      </w:r>
      <w:r w:rsidR="00AE1B5A" w:rsidRPr="00BA321C">
        <w:rPr>
          <w:rFonts w:ascii="Times New Roman" w:hAnsi="Times New Roman"/>
          <w:sz w:val="28"/>
          <w:szCs w:val="28"/>
          <w:lang w:eastAsia="ru-RU"/>
        </w:rPr>
        <w:t xml:space="preserve">Удмуртская Республика, Оренбургская область, </w:t>
      </w:r>
      <w:r w:rsidRPr="00BA321C">
        <w:rPr>
          <w:rFonts w:ascii="Times New Roman" w:hAnsi="Times New Roman"/>
          <w:sz w:val="28"/>
          <w:szCs w:val="28"/>
          <w:lang w:eastAsia="ru-RU"/>
        </w:rPr>
        <w:t xml:space="preserve">Саратовская область, Пензенская область, Чувашская Республика, </w:t>
      </w:r>
      <w:r w:rsidR="00AE1B5A" w:rsidRPr="00BA321C">
        <w:rPr>
          <w:rFonts w:ascii="Times New Roman" w:hAnsi="Times New Roman"/>
          <w:sz w:val="28"/>
          <w:szCs w:val="28"/>
          <w:lang w:eastAsia="ru-RU"/>
        </w:rPr>
        <w:t xml:space="preserve">Республика Марий Эл, </w:t>
      </w:r>
      <w:r w:rsidRPr="00BA321C">
        <w:rPr>
          <w:rFonts w:ascii="Times New Roman" w:hAnsi="Times New Roman"/>
          <w:sz w:val="28"/>
          <w:szCs w:val="28"/>
          <w:lang w:eastAsia="ru-RU"/>
        </w:rPr>
        <w:t xml:space="preserve">Ульяновская область, </w:t>
      </w:r>
      <w:r w:rsidR="00AE1B5A" w:rsidRPr="00BA321C">
        <w:rPr>
          <w:rFonts w:ascii="Times New Roman" w:hAnsi="Times New Roman"/>
          <w:sz w:val="28"/>
          <w:szCs w:val="28"/>
          <w:lang w:eastAsia="ru-RU"/>
        </w:rPr>
        <w:t xml:space="preserve">Кировская область, и </w:t>
      </w:r>
      <w:r w:rsidRPr="00BA321C">
        <w:rPr>
          <w:rFonts w:ascii="Times New Roman" w:hAnsi="Times New Roman"/>
          <w:sz w:val="28"/>
          <w:szCs w:val="28"/>
          <w:lang w:eastAsia="ru-RU"/>
        </w:rPr>
        <w:t xml:space="preserve">Республика Мордовия. Регионы, вошедшие в рассматриваемую группу, нуждаются в интенсификации мер государственной политики, направленных на повышение уровня их индексов социально-экономической привлекательности. Текущие позиции экономического, социального и институционального потенциалов рассматриваемой совокупности регионов не позволяют развиваться с интенсивностью, требующейся для формирования конкурентоспособных технологических сдвигов на базе развития производительных сил, соответствующих шестому технологическому укладу. </w:t>
      </w:r>
    </w:p>
    <w:p w:rsidR="00585FF7" w:rsidRPr="00BA321C" w:rsidRDefault="00585FF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lang w:eastAsia="ru-RU"/>
        </w:rPr>
        <w:t xml:space="preserve">Крайне познавательной формой анализа явилась оценка значений весовых коэффициентов при субиндексах, определяющих траекторию и динамику региональных индексов социально-экономической привлекательности. Реализация данного вида работы позволяет сформировать представление и понимание относительного того, какие факторы и в какой степени формируют базовые основы сдвигов региональных индексов СЭП. </w:t>
      </w:r>
    </w:p>
    <w:p w:rsidR="00585FF7" w:rsidRPr="00BA321C" w:rsidRDefault="00585FF7"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Проведенный анализ, учитывающий качественные параметры развития социально-экономической привлекательности регионов ПФО на основе оценки весовых коэффициентов субиндексов выявил три укрупненные группы регионов:</w:t>
      </w:r>
    </w:p>
    <w:p w:rsidR="00585FF7" w:rsidRPr="00BA321C" w:rsidRDefault="00585FF7"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Кластер 1. Регионы, обладающие высоким уровнем ресурсной базы, сочетающейся с высоким уровнем институциональной базы, способствующей ускоренному развитию экономики на базе прогрессивных производительных </w:t>
      </w:r>
      <w:r w:rsidRPr="00BA321C">
        <w:rPr>
          <w:rFonts w:ascii="Times New Roman" w:hAnsi="Times New Roman"/>
          <w:sz w:val="28"/>
          <w:szCs w:val="28"/>
        </w:rPr>
        <w:lastRenderedPageBreak/>
        <w:t>сил. Преобладающий тип развития регионов первого кластера – интенсивный. В данную группу входят Республика Татарстан, Республика Башкортостан, Нижегородская область, Самарская область и Саратовская область.</w:t>
      </w:r>
    </w:p>
    <w:p w:rsidR="00585FF7" w:rsidRPr="00BA321C" w:rsidRDefault="00585FF7"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Кластер 2. Регионы, вошедшие в данный кластер (Республика Мордовия, Чувашская Республика, Кировская область и Республика Мари Эл) характеризуются низким уровнем ресурсно-инфраструктурной базы, и не достаточным потенциалом влияния на динамику индекса СЭП институциональных факторов, способствующих инновационно-модернизационным преобразованиям в экономике. Однако регионы рассматриваемой группы обладают наивысшим потенциалом развития производительных сил с позиции благоприятствования социальной базы.</w:t>
      </w:r>
    </w:p>
    <w:p w:rsidR="00585FF7" w:rsidRPr="00BA321C" w:rsidRDefault="00585FF7" w:rsidP="00BA321C">
      <w:pPr>
        <w:shd w:val="clear" w:color="auto" w:fill="FFFFFF" w:themeFill="background1"/>
        <w:spacing w:after="0" w:line="360" w:lineRule="auto"/>
        <w:ind w:firstLine="993"/>
        <w:jc w:val="both"/>
        <w:rPr>
          <w:rFonts w:ascii="Times New Roman" w:hAnsi="Times New Roman"/>
          <w:sz w:val="28"/>
          <w:szCs w:val="28"/>
        </w:rPr>
      </w:pPr>
      <w:r w:rsidRPr="00BA321C">
        <w:rPr>
          <w:rFonts w:ascii="Times New Roman" w:hAnsi="Times New Roman"/>
          <w:sz w:val="28"/>
          <w:szCs w:val="28"/>
        </w:rPr>
        <w:t xml:space="preserve">Кластер 3. Регионы, характеризующиеся наименьшим потенциалом институционального развития, способствующего технологическим инновационным сдвигам. При этом социально-экономическая привлекательность регионов данной группы определяется высоким уровнем ресурсно-инфраструктурной базы. Преобладающий тип развития регионов кластера – экстенсивный. Регионы кластера: Ульяновская область, Оренбургская область, Удмуртская Республика и Пензенская область. </w:t>
      </w:r>
    </w:p>
    <w:p w:rsidR="00585FF7" w:rsidRPr="00BA321C" w:rsidRDefault="00585FF7"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lang w:eastAsia="ru-RU"/>
        </w:rPr>
        <w:t>По результатам моделирования регрессионных уравнений, оценивающих взаимосвязь между уровнем экономического, социального и институционального потенциалов регионов ПФО и индексом СЭП доказано, что регионы с высоким уровнем институционального потенциала демонстрируют более динамичные темпы роста ВРП, основанные, по всей видимости, на развитии производительных сил, соответствующих шестому технологическому укладу. Регионы второго и третьего кластеров имеют заметно меньшую динамику роста ВРП. При этом важным с научно-практической точки зрения является то, что для регионов третьего кластера, характеризующихся значительным ресурсно-инфраструктурным потенциалом, но имеющих слабые позиции в отношении институциональных факторов развития, прогнозируются наименьшие темпы роста ВРП.</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В заключительной части диссертационного исследования на основе полученных результатов в оценках интегрального индекса социально-экономической привлекательности регионов ПФО и факторов его обуславливающих разработаны стратегические матрицы</w:t>
      </w:r>
      <w:r w:rsidRPr="00BA321C">
        <w:rPr>
          <w:rFonts w:ascii="Times New Roman" w:hAnsi="Times New Roman"/>
          <w:sz w:val="28"/>
          <w:szCs w:val="28"/>
          <w:lang w:eastAsia="ru-RU"/>
        </w:rPr>
        <w:t xml:space="preserve"> приоритетных направлений развития производительных сил, обеспечивающих ускоренное и оптимальное развитие региональных экономических систем Приволжского федерального округа.</w:t>
      </w: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p>
    <w:p w:rsidR="00AC76E4" w:rsidRPr="00BA321C" w:rsidRDefault="00AC76E4" w:rsidP="00BA321C">
      <w:pPr>
        <w:shd w:val="clear" w:color="auto" w:fill="FFFFFF" w:themeFill="background1"/>
        <w:spacing w:after="0" w:line="360" w:lineRule="auto"/>
        <w:ind w:firstLine="851"/>
        <w:jc w:val="both"/>
        <w:rPr>
          <w:rFonts w:ascii="Times New Roman" w:hAnsi="Times New Roman"/>
          <w:sz w:val="28"/>
          <w:szCs w:val="28"/>
        </w:rPr>
      </w:pPr>
    </w:p>
    <w:p w:rsidR="00665B80" w:rsidRPr="00BA321C" w:rsidRDefault="00665B80"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9F5B51" w:rsidRPr="00BA321C" w:rsidRDefault="009F5B51" w:rsidP="00BA321C">
      <w:pPr>
        <w:shd w:val="clear" w:color="auto" w:fill="FFFFFF" w:themeFill="background1"/>
        <w:spacing w:after="0" w:line="360" w:lineRule="auto"/>
        <w:ind w:firstLine="851"/>
        <w:jc w:val="both"/>
        <w:rPr>
          <w:rFonts w:ascii="Times New Roman" w:hAnsi="Times New Roman"/>
          <w:sz w:val="28"/>
          <w:szCs w:val="28"/>
        </w:rPr>
      </w:pPr>
    </w:p>
    <w:p w:rsidR="009F5B51" w:rsidRPr="00BA321C" w:rsidRDefault="009F5B51" w:rsidP="00BA321C">
      <w:pPr>
        <w:shd w:val="clear" w:color="auto" w:fill="FFFFFF" w:themeFill="background1"/>
        <w:spacing w:after="0" w:line="360" w:lineRule="auto"/>
        <w:ind w:firstLine="851"/>
        <w:jc w:val="both"/>
        <w:rPr>
          <w:rFonts w:ascii="Times New Roman" w:hAnsi="Times New Roman"/>
          <w:sz w:val="28"/>
          <w:szCs w:val="28"/>
        </w:rPr>
      </w:pPr>
    </w:p>
    <w:p w:rsidR="009F5B51" w:rsidRPr="00BA321C" w:rsidRDefault="009F5B51" w:rsidP="00BA321C">
      <w:pPr>
        <w:shd w:val="clear" w:color="auto" w:fill="FFFFFF" w:themeFill="background1"/>
        <w:spacing w:after="0" w:line="360" w:lineRule="auto"/>
        <w:ind w:firstLine="851"/>
        <w:jc w:val="both"/>
        <w:rPr>
          <w:rFonts w:ascii="Times New Roman" w:hAnsi="Times New Roman"/>
          <w:sz w:val="28"/>
          <w:szCs w:val="28"/>
        </w:rPr>
      </w:pPr>
    </w:p>
    <w:p w:rsidR="00234BD7" w:rsidRPr="00BA321C" w:rsidRDefault="00234BD7"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53170F" w:rsidRPr="00BA321C" w:rsidRDefault="0053170F" w:rsidP="00BA321C">
      <w:pPr>
        <w:shd w:val="clear" w:color="auto" w:fill="FFFFFF" w:themeFill="background1"/>
        <w:spacing w:after="0" w:line="360" w:lineRule="auto"/>
        <w:ind w:firstLine="851"/>
        <w:jc w:val="both"/>
        <w:rPr>
          <w:rFonts w:ascii="Times New Roman" w:hAnsi="Times New Roman"/>
          <w:sz w:val="28"/>
          <w:szCs w:val="28"/>
        </w:rPr>
      </w:pPr>
    </w:p>
    <w:p w:rsidR="006A4F5B" w:rsidRPr="00BA321C" w:rsidRDefault="006A4F5B" w:rsidP="00BA321C">
      <w:pPr>
        <w:shd w:val="clear" w:color="auto" w:fill="FFFFFF" w:themeFill="background1"/>
        <w:spacing w:after="0" w:line="360" w:lineRule="auto"/>
        <w:ind w:firstLine="851"/>
        <w:jc w:val="both"/>
        <w:rPr>
          <w:rFonts w:ascii="Times New Roman" w:hAnsi="Times New Roman"/>
          <w:sz w:val="28"/>
          <w:szCs w:val="28"/>
        </w:rPr>
      </w:pPr>
    </w:p>
    <w:p w:rsidR="006A4F5B" w:rsidRPr="00BA321C" w:rsidRDefault="006A4F5B" w:rsidP="00BA321C">
      <w:pPr>
        <w:shd w:val="clear" w:color="auto" w:fill="FFFFFF" w:themeFill="background1"/>
        <w:spacing w:after="0" w:line="360" w:lineRule="auto"/>
        <w:ind w:firstLine="851"/>
        <w:jc w:val="both"/>
        <w:rPr>
          <w:rFonts w:ascii="Times New Roman" w:hAnsi="Times New Roman"/>
          <w:sz w:val="28"/>
          <w:szCs w:val="28"/>
        </w:rPr>
      </w:pPr>
    </w:p>
    <w:p w:rsidR="006A4F5B" w:rsidRPr="00BA321C" w:rsidRDefault="006A4F5B" w:rsidP="00BA321C">
      <w:pPr>
        <w:shd w:val="clear" w:color="auto" w:fill="FFFFFF" w:themeFill="background1"/>
        <w:spacing w:after="0" w:line="360" w:lineRule="auto"/>
        <w:ind w:firstLine="851"/>
        <w:jc w:val="both"/>
        <w:rPr>
          <w:rFonts w:ascii="Times New Roman" w:hAnsi="Times New Roman"/>
          <w:sz w:val="28"/>
          <w:szCs w:val="28"/>
        </w:rPr>
      </w:pPr>
    </w:p>
    <w:p w:rsidR="00DD5559" w:rsidRPr="00BA321C" w:rsidRDefault="00665B80" w:rsidP="00C35E98">
      <w:pPr>
        <w:pStyle w:val="3"/>
        <w:jc w:val="center"/>
      </w:pPr>
      <w:bookmarkStart w:id="15" w:name="_Toc451869598"/>
      <w:r w:rsidRPr="00BA321C">
        <w:lastRenderedPageBreak/>
        <w:t>Список использованной литературы</w:t>
      </w:r>
      <w:bookmarkEnd w:id="15"/>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04176" w:rsidRPr="00BA321C" w:rsidRDefault="0053170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1. </w:t>
      </w:r>
      <w:r w:rsidR="00804176" w:rsidRPr="00BA321C">
        <w:rPr>
          <w:rFonts w:ascii="Times New Roman" w:hAnsi="Times New Roman"/>
          <w:sz w:val="28"/>
          <w:szCs w:val="28"/>
        </w:rPr>
        <w:t>Смит А. Исследование о природе и причинах богатства народов [текст]. М.: Соцэкгиз, 1962. – 676с.</w:t>
      </w:r>
    </w:p>
    <w:p w:rsidR="00804176" w:rsidRPr="00BA321C" w:rsidRDefault="0053170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2. </w:t>
      </w:r>
      <w:r w:rsidR="00804176" w:rsidRPr="00BA321C">
        <w:rPr>
          <w:rFonts w:ascii="Times New Roman" w:hAnsi="Times New Roman"/>
          <w:sz w:val="28"/>
          <w:szCs w:val="28"/>
        </w:rPr>
        <w:t xml:space="preserve">Бартенев С.А. История экономических учений: Учебник. – </w:t>
      </w:r>
      <w:r w:rsidR="007B4A59" w:rsidRPr="00BA321C">
        <w:rPr>
          <w:rFonts w:ascii="Times New Roman" w:hAnsi="Times New Roman"/>
          <w:sz w:val="28"/>
          <w:szCs w:val="28"/>
        </w:rPr>
        <w:t>Томск</w:t>
      </w:r>
      <w:r w:rsidR="00804176" w:rsidRPr="00BA321C">
        <w:rPr>
          <w:rFonts w:ascii="Times New Roman" w:hAnsi="Times New Roman"/>
          <w:sz w:val="28"/>
          <w:szCs w:val="28"/>
        </w:rPr>
        <w:t>.: Экономисть, 2004. – 456 с.</w:t>
      </w:r>
    </w:p>
    <w:p w:rsidR="007B4A59"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w:t>
      </w:r>
      <w:r w:rsidR="007B4A59" w:rsidRPr="00BA321C">
        <w:rPr>
          <w:rFonts w:ascii="Times New Roman" w:hAnsi="Times New Roman"/>
          <w:sz w:val="28"/>
          <w:szCs w:val="28"/>
        </w:rPr>
        <w:t xml:space="preserve"> Аникина Е.А., Гавриленко Л.И. Экономическая теория: учебник / Е.А. Аникина, Л.И. Гавриленко. – Томск: Изд-во Томского политехнического университета, 2014. – 413 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4.Маршалл, А. Принципы экономической науки. М.: "Директмедиа Паблишинг", 2008. – 994с.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5.Сэй, Ж. Б. Трактат по политической экономии [Текст]/ Жан Батист Сэй; [сост., вступ. ст. и коммент М. К. Бункиной и А. М. Семенова]. – М.: Дело: Акад. нар. хоз-ва При Правительстве Рос. Федерации, 2000. – 104с.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6.Рубин, Ю. Б. Конкуренция: Реалии и перспективы [Текст]. – М.: Знание, 1999. – 64с.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7.Абалкин, Л. И. Политическая экономия и экономическая политика [Текст]. – М.: Экономика, 1970. – 647с.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8. Пелих А. С. Экономика отрасли. Серия «Высшее образование» - Ростов н/д: Феникс, 2004. – 448с.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9. Ковальзон М. Я. Закономерности развития производительных сил и производственных отношений. – М.: Экономист, 1957. – 216с.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10. Ельмеева В. Я. Коммунизм и развитие человека как производительной силы общества. – М.: Политиздат, 1964. – 317с.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11. Марахов В. Г. Структура и развитие производительных сил общества. – М.: Мысль, 1970. – 370с.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12. Маркс К. Капитал. Критика политической экономии. Т.1. Кн.1. Процесс производства капитала. – М.: Политиздат, 1998. – </w:t>
      </w:r>
      <w:r w:rsidRPr="00BA321C">
        <w:rPr>
          <w:rFonts w:ascii="Times New Roman" w:hAnsi="Times New Roman"/>
          <w:sz w:val="28"/>
          <w:szCs w:val="28"/>
          <w:lang w:val="en-US"/>
        </w:rPr>
        <w:t>XVIII</w:t>
      </w:r>
      <w:r w:rsidRPr="00BA321C">
        <w:rPr>
          <w:rFonts w:ascii="Times New Roman" w:hAnsi="Times New Roman"/>
          <w:sz w:val="28"/>
          <w:szCs w:val="28"/>
        </w:rPr>
        <w:t>. – 891с.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13. Евсеев О. В. Конкурентоспособность производительных сил. – М.: «Дашков и Ко», 2007. – 261с.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14. Чибриков Г. Г., Сажина М. А. Экономическая теория. Учебник для вузов. – М.:Издательская группа НОРМА-ИНФРА, 1998. – 456с.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15. К. Маркс, Ф. Энгельс Избранные произведения. В 3-х т. Т.3. – М.: Политиздат, 1981. – 643с.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16. Янченюк Е. В. Институциональный капитал как собственность государства. Донецкий технический национальный университет. Научные труды ДонНТУ. Серия: экономическая. Выпуск 34-2. – Донецк: Изд-во «Каштан», 2008 – С. 97-99.</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17. Гранберг А. Г. Изучение производительных сил. – «Вестник академии наук» - М.: РАН, 1996. – С.7-21.</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18. Государственно-территориальное устройство России: реформирование регионального уровня / По ред.: Гришина В. И., Кистанова В. В., М.: «Финансы и статистика», 2007. – 312с.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19. Гранберг А. Г. Регулирование регионального развития и региональная экономическая политика в Российской Федерации. – М.: СОПС, 2000. – 148с.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20. Кистанов В. В., Копылов Н. В. Размещение производительных сил. – М.: Экономика, 1994. – 588с.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21. Производительные силы и социально-экономическая динамика. Труды Всероссийской научной конференции 20-21 октября 2005 года. – М.: СОПС, 2007.</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22. Регулирование территориального развития в условиях рыночной экономики / Под общ. Ред. Б. М. Штульберга. – М.: СОПС, 1997. – 262с.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23. Аганбегян, А. Г. Экономический вызов перестройки [Текст]. – Новосибирск, 1989. – 438с.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24. Самуэльсон П. Экономика, т.2 М.: НПО «Алгон», ВНИИСИ, 1992.</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25. Marshall A. Principles of Economics. – London, 1925.</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26. Borts G.H., Stein J.I. Economic Growth in a Free Market. – New York, London, 1964</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27. Lesh A. Geographical placement of economy: Translation from English. – M.: Publishing house of foreign literature, 1959</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rPr>
        <w:lastRenderedPageBreak/>
        <w:t xml:space="preserve">28. Мюрдаль Г. Современные проблемы «третьего мира». Драма Азии. Пер. с англ. / Общ. ред. д.э.н., проф. </w:t>
      </w:r>
      <w:r w:rsidRPr="00BA321C">
        <w:rPr>
          <w:rFonts w:ascii="Times New Roman" w:hAnsi="Times New Roman"/>
          <w:sz w:val="28"/>
          <w:szCs w:val="28"/>
          <w:lang w:val="en-US"/>
        </w:rPr>
        <w:t>Р.А. Ульяновского. – М.: Изд-во «Прогресс», 1972. – 767 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lang w:val="en-US"/>
        </w:rPr>
        <w:t xml:space="preserve">29. Richardson H.W. Regional Growth Theory. – London. </w:t>
      </w:r>
      <w:r w:rsidRPr="00BA321C">
        <w:rPr>
          <w:rFonts w:ascii="Times New Roman" w:hAnsi="Times New Roman"/>
          <w:sz w:val="28"/>
          <w:szCs w:val="28"/>
        </w:rPr>
        <w:t>1973.</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30. Гранберг А.Г. Основы региональной экономики: Учебник для вуза. – М.: ГУ ВШЭ, 2000. – 495 с. </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31. Инновационно-модернизационные волны в социально-экономическом развитии: технологические уклады, макроэкономические генерации, взгляд в будущее. Книга 1. Текстильная, металлургическая, нефтеперерабатывающая, нефтехимическая промышленность, электроэнергетика, военное машиностроение / под. ред. Ю. В. Матвеева, Г. В. Семенова. Самара: ООО «Издательство Ас Град», 2013. 458с.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32. Глазьев С. Какая модернизация нужна России? // Экономист. 2010. №8. С.5.</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33. Сухарев О. Институциональная экономика. М.: Экономика, 2008. С.257.</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34. Стрекалов О.Б Инновационное развитие региона: состояние и перспективы. - Казань: Казан.гос.технол.ун-т, 1997. - 148 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35. Кушаев А. Ф. Стратегическое управление территориальным развитием производительных сил в регионе. Диссертация на соискание ученой степени кандидата экономических наук, 2005</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36. </w:t>
      </w:r>
      <w:hyperlink r:id="rId126" w:history="1">
        <w:r w:rsidRPr="00BA321C">
          <w:rPr>
            <w:rStyle w:val="a6"/>
            <w:rFonts w:ascii="Times New Roman" w:hAnsi="Times New Roman"/>
            <w:color w:val="auto"/>
            <w:sz w:val="28"/>
            <w:szCs w:val="28"/>
          </w:rPr>
          <w:t>http://sops.ru/upload/SOPS_magazine_02.pdf</w:t>
        </w:r>
      </w:hyperlink>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37. </w:t>
      </w:r>
      <w:r w:rsidRPr="00BA321C">
        <w:rPr>
          <w:rStyle w:val="Bodytext6ItalicSpacing0pt"/>
          <w:rFonts w:eastAsia="Calibri"/>
          <w:color w:val="auto"/>
          <w:sz w:val="28"/>
          <w:szCs w:val="28"/>
        </w:rPr>
        <w:t>Булгакова Л.Н.</w:t>
      </w:r>
      <w:r w:rsidRPr="00BA321C">
        <w:rPr>
          <w:rFonts w:ascii="Times New Roman" w:hAnsi="Times New Roman"/>
          <w:sz w:val="28"/>
          <w:szCs w:val="28"/>
        </w:rPr>
        <w:t xml:space="preserve"> Методологические аспекты оценки социально-экономического потен</w:t>
      </w:r>
      <w:r w:rsidRPr="00BA321C">
        <w:rPr>
          <w:rFonts w:ascii="Times New Roman" w:hAnsi="Times New Roman"/>
          <w:sz w:val="28"/>
          <w:szCs w:val="28"/>
        </w:rPr>
        <w:softHyphen/>
        <w:t xml:space="preserve">циала региона. Управление экономическими системами. Электронный научный журнал. </w:t>
      </w:r>
      <w:r w:rsidRPr="00BA321C">
        <w:rPr>
          <w:rFonts w:ascii="Times New Roman" w:hAnsi="Times New Roman"/>
          <w:sz w:val="28"/>
          <w:szCs w:val="28"/>
          <w:lang w:val="en-US"/>
        </w:rPr>
        <w:t>URL</w:t>
      </w:r>
      <w:r w:rsidRPr="00BA321C">
        <w:rPr>
          <w:rFonts w:ascii="Times New Roman" w:hAnsi="Times New Roman"/>
          <w:sz w:val="28"/>
          <w:szCs w:val="28"/>
        </w:rPr>
        <w:t xml:space="preserve">: </w:t>
      </w:r>
      <w:hyperlink r:id="rId127" w:history="1">
        <w:r w:rsidRPr="00BA321C">
          <w:rPr>
            <w:rStyle w:val="a6"/>
            <w:rFonts w:ascii="Times New Roman" w:hAnsi="Times New Roman"/>
            <w:color w:val="auto"/>
            <w:sz w:val="28"/>
            <w:szCs w:val="28"/>
            <w:lang w:val="en-US"/>
          </w:rPr>
          <w:t>http</w:t>
        </w:r>
        <w:r w:rsidRPr="00BA321C">
          <w:rPr>
            <w:rStyle w:val="a6"/>
            <w:rFonts w:ascii="Times New Roman" w:hAnsi="Times New Roman"/>
            <w:color w:val="auto"/>
            <w:sz w:val="28"/>
            <w:szCs w:val="28"/>
          </w:rPr>
          <w:t>://</w:t>
        </w:r>
        <w:r w:rsidRPr="00BA321C">
          <w:rPr>
            <w:rStyle w:val="a6"/>
            <w:rFonts w:ascii="Times New Roman" w:hAnsi="Times New Roman"/>
            <w:color w:val="auto"/>
            <w:sz w:val="28"/>
            <w:szCs w:val="28"/>
            <w:lang w:val="en-US"/>
          </w:rPr>
          <w:t>uecs</w:t>
        </w:r>
        <w:r w:rsidRPr="00BA321C">
          <w:rPr>
            <w:rStyle w:val="a6"/>
            <w:rFonts w:ascii="Times New Roman" w:hAnsi="Times New Roman"/>
            <w:color w:val="auto"/>
            <w:sz w:val="28"/>
            <w:szCs w:val="28"/>
          </w:rPr>
          <w:t>.</w:t>
        </w:r>
        <w:r w:rsidRPr="00BA321C">
          <w:rPr>
            <w:rStyle w:val="a6"/>
            <w:rFonts w:ascii="Times New Roman" w:hAnsi="Times New Roman"/>
            <w:color w:val="auto"/>
            <w:sz w:val="28"/>
            <w:szCs w:val="28"/>
            <w:lang w:val="en-US"/>
          </w:rPr>
          <w:t>ru</w:t>
        </w:r>
        <w:r w:rsidRPr="00BA321C">
          <w:rPr>
            <w:rStyle w:val="a6"/>
            <w:rFonts w:ascii="Times New Roman" w:hAnsi="Times New Roman"/>
            <w:color w:val="auto"/>
            <w:sz w:val="28"/>
            <w:szCs w:val="28"/>
          </w:rPr>
          <w:t>/</w:t>
        </w:r>
        <w:r w:rsidRPr="00BA321C">
          <w:rPr>
            <w:rStyle w:val="a6"/>
            <w:rFonts w:ascii="Times New Roman" w:hAnsi="Times New Roman"/>
            <w:color w:val="auto"/>
            <w:sz w:val="28"/>
            <w:szCs w:val="28"/>
            <w:lang w:val="en-US"/>
          </w:rPr>
          <w:t>uecs</w:t>
        </w:r>
        <w:r w:rsidRPr="00BA321C">
          <w:rPr>
            <w:rStyle w:val="a6"/>
            <w:rFonts w:ascii="Times New Roman" w:hAnsi="Times New Roman"/>
            <w:color w:val="auto"/>
            <w:sz w:val="28"/>
            <w:szCs w:val="28"/>
          </w:rPr>
          <w:t>-37-372012/</w:t>
        </w:r>
        <w:r w:rsidRPr="00BA321C">
          <w:rPr>
            <w:rStyle w:val="a6"/>
            <w:rFonts w:ascii="Times New Roman" w:hAnsi="Times New Roman"/>
            <w:color w:val="auto"/>
            <w:sz w:val="28"/>
            <w:szCs w:val="28"/>
            <w:lang w:val="en-US"/>
          </w:rPr>
          <w:t>item</w:t>
        </w:r>
        <w:r w:rsidRPr="00BA321C">
          <w:rPr>
            <w:rStyle w:val="a6"/>
            <w:rFonts w:ascii="Times New Roman" w:hAnsi="Times New Roman"/>
            <w:color w:val="auto"/>
            <w:sz w:val="28"/>
            <w:szCs w:val="28"/>
          </w:rPr>
          <w:t>/1004-2012-02-01-05-52-52</w:t>
        </w:r>
      </w:hyperlink>
      <w:r w:rsidRPr="00BA321C">
        <w:rPr>
          <w:rFonts w:ascii="Times New Roman" w:hAnsi="Times New Roman"/>
          <w:sz w:val="28"/>
          <w:szCs w:val="28"/>
        </w:rPr>
        <w:t xml:space="preserve"> (дата обращения: 21.03.2013).</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Style w:val="Bodytext6ItalicSpacing0pt"/>
          <w:rFonts w:eastAsia="Calibri"/>
          <w:i w:val="0"/>
          <w:color w:val="auto"/>
          <w:sz w:val="28"/>
          <w:szCs w:val="28"/>
        </w:rPr>
        <w:t>38.</w:t>
      </w:r>
      <w:r w:rsidRPr="00BA321C">
        <w:rPr>
          <w:rStyle w:val="Bodytext6ItalicSpacing0pt"/>
          <w:rFonts w:eastAsia="Calibri"/>
          <w:color w:val="auto"/>
          <w:sz w:val="28"/>
          <w:szCs w:val="28"/>
        </w:rPr>
        <w:t xml:space="preserve"> Бияков О.А.</w:t>
      </w:r>
      <w:r w:rsidRPr="00BA321C">
        <w:rPr>
          <w:rFonts w:ascii="Times New Roman" w:hAnsi="Times New Roman"/>
          <w:sz w:val="28"/>
          <w:szCs w:val="28"/>
        </w:rPr>
        <w:t xml:space="preserve"> Теория экономического пространства: методологический и региональный аспекты. Томск: Изд-во Том. ун-та, 2004. 152 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39. О.В. Глушакова, Я. А. Вайсберг Социальное и экономическое пространство регионов: концептуальные подходы к измерению и методика оценки (на примере регионов Сибирского федерального округа). Томск: Изд-во Том. ун-та, 2013. 152 с.</w:t>
      </w:r>
    </w:p>
    <w:p w:rsidR="007B3B8C" w:rsidRPr="00BA321C" w:rsidRDefault="007B3B8C"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40. Картаузов, Алексей Александрович. Формирование и институциональное регулирование конкурентоспособности производительных сил : на примере регионов Приволжского федерального округа : диссертация ... кандидата экономических наук : 08.00.01, 08.00.05 / Картаузов Алексей Александрович; [Место защиты: Сам. гос. эконом. ун-т].- Самара, 2011.- 209 с.: ил. РГБ ОД, 61 12-8/760</w:t>
      </w:r>
    </w:p>
    <w:p w:rsidR="00773B72" w:rsidRPr="00BA321C" w:rsidRDefault="00A16A8B"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41. </w:t>
      </w:r>
      <w:hyperlink r:id="rId128" w:history="1">
        <w:r w:rsidRPr="00BA321C">
          <w:rPr>
            <w:rFonts w:ascii="Times New Roman" w:hAnsi="Times New Roman"/>
            <w:sz w:val="28"/>
            <w:szCs w:val="28"/>
          </w:rPr>
          <w:t>http://abc.informbureau.com/html/duiixiass_eiodanodoeooda.html</w:t>
        </w:r>
      </w:hyperlink>
    </w:p>
    <w:p w:rsidR="00A16A8B" w:rsidRPr="00BA321C" w:rsidRDefault="00A16A8B"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42. Официальный сайт Федеральной службы государственно статистики.                        "Регионы России. Социально-экономические показатели", 2012г. /                                                                                         </w:t>
      </w:r>
      <w:hyperlink r:id="rId129" w:history="1">
        <w:r w:rsidRPr="00BA321C">
          <w:rPr>
            <w:rFonts w:ascii="Times New Roman" w:hAnsi="Times New Roman"/>
            <w:sz w:val="28"/>
            <w:szCs w:val="28"/>
          </w:rPr>
          <w:t>http://www.gks.ru/wps/wcm/connect/rosstat_main/rosstat/ru/statistics/publications/catalog/doc_1138623506156</w:t>
        </w:r>
      </w:hyperlink>
    </w:p>
    <w:p w:rsidR="00A10443" w:rsidRPr="00BA321C" w:rsidRDefault="00A10443"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43. М.Р. Сафиуллин, Г.В. Семенов, Л.А. Ельшин Демографический каркас индустриально-промышленного развития регионов Приволжского федерального округа: эволюция, возможности, ограничения. Вестник Саратовского государственного социально-экономического университета. Выпуск№ 5 (49) / 2013</w:t>
      </w:r>
    </w:p>
    <w:p w:rsidR="00773B72" w:rsidRPr="00BA321C" w:rsidRDefault="00727A72"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44. Электронный экономический вестник Республики Татарстан. Академия наук Республики Татарстан, Центр перспективных экономических исследований. 2013. I кв. (4/5)</w:t>
      </w:r>
    </w:p>
    <w:p w:rsidR="00727A72" w:rsidRPr="00BA321C" w:rsidRDefault="00727A72"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45. Анкудинов А.Б., Лебедев О.В. Анализ социальных последствий замедления экономического развития страны вследствие действия макроэкономических факторов (по отраслям экономики) // Экономический вестник Республики Татарстан. 2012. № 4. </w:t>
      </w:r>
    </w:p>
    <w:p w:rsidR="00727A72" w:rsidRPr="00BA321C" w:rsidRDefault="00727A72"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46. Кундакчян Р.М. Влияние эколого-экономических факторов на качество жизни. Казань, 2007. </w:t>
      </w:r>
    </w:p>
    <w:p w:rsidR="00727A72" w:rsidRPr="00BA321C" w:rsidRDefault="00727A72"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rPr>
        <w:t xml:space="preserve">47. Сафиуллин М.Р., Ельшин Л.А., Шакирова А.И. Оценка экологического благополучия территорий как инструмент моделирования размещения производительных сил в регионе (на примере Республики Татарстан) // Экономический вестник Республики Татарстан. </w:t>
      </w:r>
      <w:r w:rsidRPr="00BA321C">
        <w:rPr>
          <w:rFonts w:ascii="Times New Roman" w:hAnsi="Times New Roman"/>
          <w:sz w:val="28"/>
          <w:szCs w:val="28"/>
          <w:lang w:val="en-US"/>
        </w:rPr>
        <w:t xml:space="preserve">2012. № 4.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lastRenderedPageBreak/>
        <w:t xml:space="preserve">48. </w:t>
      </w:r>
      <w:r w:rsidR="00EC4F23" w:rsidRPr="00BA321C">
        <w:rPr>
          <w:rFonts w:ascii="Times New Roman" w:hAnsi="Times New Roman"/>
          <w:sz w:val="28"/>
          <w:szCs w:val="28"/>
          <w:lang w:val="en-US"/>
        </w:rPr>
        <w:t xml:space="preserve">Campbell J. L. Institutional Change and Globalization. – Princeton and Oxford: Princeton University Press, 2004.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lang w:val="en-US"/>
        </w:rPr>
        <w:t xml:space="preserve">49. </w:t>
      </w:r>
      <w:r w:rsidR="00EC4F23" w:rsidRPr="00BA321C">
        <w:rPr>
          <w:rFonts w:ascii="Times New Roman" w:hAnsi="Times New Roman"/>
          <w:sz w:val="28"/>
          <w:szCs w:val="28"/>
          <w:lang w:val="en-US"/>
        </w:rPr>
        <w:t xml:space="preserve">Economic Policy &amp; External Debt. Indicators. </w:t>
      </w:r>
      <w:r w:rsidR="00EC4F23" w:rsidRPr="00BA321C">
        <w:rPr>
          <w:rFonts w:ascii="Times New Roman" w:hAnsi="Times New Roman"/>
          <w:sz w:val="28"/>
          <w:szCs w:val="28"/>
        </w:rPr>
        <w:t xml:space="preserve">Worldbank. // Режим оступа – свободный. </w:t>
      </w:r>
      <w:hyperlink r:id="rId130" w:history="1">
        <w:r w:rsidR="00EC4F23" w:rsidRPr="00BA321C">
          <w:rPr>
            <w:rFonts w:ascii="Times New Roman" w:hAnsi="Times New Roman"/>
          </w:rPr>
          <w:t>www.worldbank.org</w:t>
        </w:r>
      </w:hyperlink>
      <w:r w:rsidR="00EC4F23" w:rsidRPr="00BA321C">
        <w:rPr>
          <w:rFonts w:ascii="Times New Roman" w:hAnsi="Times New Roman"/>
          <w:sz w:val="28"/>
          <w:szCs w:val="28"/>
        </w:rPr>
        <w:t xml:space="preserve">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 xml:space="preserve">50. </w:t>
      </w:r>
      <w:r w:rsidR="00EC4F23" w:rsidRPr="00BA321C">
        <w:rPr>
          <w:rFonts w:ascii="Times New Roman" w:hAnsi="Times New Roman"/>
          <w:sz w:val="28"/>
          <w:szCs w:val="28"/>
          <w:lang w:val="en-US"/>
        </w:rPr>
        <w:t>Furubotn E.G., Richter R. Institutions and Economic Theory. The Contribution of the New Institutional Economics. – The University of Michigan Press. - 1998.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 xml:space="preserve">51. </w:t>
      </w:r>
      <w:r w:rsidR="00EC4F23" w:rsidRPr="00BA321C">
        <w:rPr>
          <w:rFonts w:ascii="Times New Roman" w:hAnsi="Times New Roman"/>
          <w:sz w:val="28"/>
          <w:szCs w:val="28"/>
          <w:lang w:val="en-US"/>
        </w:rPr>
        <w:t xml:space="preserve">Kasper W. Institutional economics: social order and public policy. – Bodmin, Cornwall, 1999.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 xml:space="preserve">52. </w:t>
      </w:r>
      <w:r w:rsidR="00EC4F23" w:rsidRPr="00BA321C">
        <w:rPr>
          <w:rFonts w:ascii="Times New Roman" w:hAnsi="Times New Roman"/>
          <w:sz w:val="28"/>
          <w:szCs w:val="28"/>
          <w:lang w:val="en-US"/>
        </w:rPr>
        <w:t xml:space="preserve">Ostrom E. Governing the Commons: The Evolution of Institutions for Collective Action / E. Ostrom. – Cambridge : Cambridge University Press, 1990.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lang w:val="en-US"/>
        </w:rPr>
      </w:pPr>
      <w:r w:rsidRPr="00BA321C">
        <w:rPr>
          <w:rFonts w:ascii="Times New Roman" w:hAnsi="Times New Roman"/>
          <w:sz w:val="28"/>
          <w:szCs w:val="28"/>
          <w:lang w:val="en-US"/>
        </w:rPr>
        <w:t xml:space="preserve">53. </w:t>
      </w:r>
      <w:r w:rsidR="00EC4F23" w:rsidRPr="00BA321C">
        <w:rPr>
          <w:rFonts w:ascii="Times New Roman" w:hAnsi="Times New Roman"/>
          <w:sz w:val="28"/>
          <w:szCs w:val="28"/>
          <w:lang w:val="en-US"/>
        </w:rPr>
        <w:t>Sala-i-Martin X. Regional Cohesion: Evidence and Theories of Regional Growth and Convergence // European Economic Review. – 1996. – Vol. 40.</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54. </w:t>
      </w:r>
      <w:r w:rsidR="00EC4F23" w:rsidRPr="00BA321C">
        <w:rPr>
          <w:rFonts w:ascii="Times New Roman" w:hAnsi="Times New Roman"/>
          <w:sz w:val="28"/>
          <w:szCs w:val="28"/>
        </w:rPr>
        <w:t>Аганбегян А. Г. Финансы для модернизации // Деньги и кредит. - 2010, № 3. С. 3–11.</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55. </w:t>
      </w:r>
      <w:r w:rsidR="00EC4F23" w:rsidRPr="00BA321C">
        <w:rPr>
          <w:rFonts w:ascii="Times New Roman" w:hAnsi="Times New Roman"/>
          <w:sz w:val="28"/>
          <w:szCs w:val="28"/>
        </w:rPr>
        <w:t>Албегов, М.М. Краткосрочное прогнозирование регионального развития в условиях неполной информации / М.М. Албегов, В.Г. Медведев, А.Г. Симонов. – М.: Эдиториал УРСС, 2002. – 160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56.</w:t>
      </w:r>
      <w:r w:rsidR="00EC4F23" w:rsidRPr="00BA321C">
        <w:rPr>
          <w:rFonts w:ascii="Times New Roman" w:hAnsi="Times New Roman"/>
          <w:sz w:val="28"/>
          <w:szCs w:val="28"/>
        </w:rPr>
        <w:t xml:space="preserve"> Андерссон Д. Е. Роль институтов и самоорганизующихся сетей в экономической истории регионов // Ворота в глобальную экономику. – М.: ФАЗИС, 2001. – С. 400–418.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57. </w:t>
      </w:r>
      <w:r w:rsidR="00EC4F23" w:rsidRPr="00BA321C">
        <w:rPr>
          <w:rFonts w:ascii="Times New Roman" w:hAnsi="Times New Roman"/>
          <w:sz w:val="28"/>
          <w:szCs w:val="28"/>
        </w:rPr>
        <w:t>Антонова А. А. Анализ динамики агломерационного развития регионов Северо-Западного федерального округа // Вестник Инжэкона. Серия «Экономика». - 2013.  - Вып. 1 (60). - С. 309–311</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58. </w:t>
      </w:r>
      <w:r w:rsidR="00EC4F23" w:rsidRPr="00BA321C">
        <w:rPr>
          <w:rFonts w:ascii="Times New Roman" w:hAnsi="Times New Roman"/>
          <w:sz w:val="28"/>
          <w:szCs w:val="28"/>
        </w:rPr>
        <w:t>Артоболевский С. С. Цели, объекты и методы региональной политики в развитых капиталистических странах // Изв. АН СССР. Сер. Геогр. – 1989. – № 4. – С. 77-83.</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59. </w:t>
      </w:r>
      <w:r w:rsidR="00EC4F23" w:rsidRPr="00BA321C">
        <w:rPr>
          <w:rFonts w:ascii="Times New Roman" w:hAnsi="Times New Roman"/>
          <w:sz w:val="28"/>
          <w:szCs w:val="28"/>
        </w:rPr>
        <w:t>Белов А.В. Институциональная среда и экономическое развитие: оценка взаимосвязи и эмпирическая проверка на примере Дальневосточного региона // Вестник СПбГУ. – 2002. – Сер. 5. – Вып. 3 (№ 21). – С. 41-58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60. </w:t>
      </w:r>
      <w:r w:rsidR="00EC4F23" w:rsidRPr="00BA321C">
        <w:rPr>
          <w:rFonts w:ascii="Times New Roman" w:hAnsi="Times New Roman"/>
          <w:sz w:val="28"/>
          <w:szCs w:val="28"/>
        </w:rPr>
        <w:t>Важенин С. Г., Берсенев В. Л., Важенина И. С., Татаркин А. И. Территориальная конкуренция в экономическом пространстве. - Екатеринбург: Институт экономики Уро РАН, 2011. - 540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61. </w:t>
      </w:r>
      <w:r w:rsidR="00EC4F23" w:rsidRPr="00BA321C">
        <w:rPr>
          <w:rFonts w:ascii="Times New Roman" w:hAnsi="Times New Roman"/>
          <w:sz w:val="28"/>
          <w:szCs w:val="28"/>
        </w:rPr>
        <w:t xml:space="preserve">Вардомский Л. Б. Российское экономическое пространство: вопросы единства в условиях глобализации: научный доклад. // Режим доступа – свободный. </w:t>
      </w:r>
      <w:hyperlink r:id="rId131" w:history="1">
        <w:r w:rsidR="00EC4F23" w:rsidRPr="00BA321C">
          <w:rPr>
            <w:rFonts w:ascii="Times New Roman" w:hAnsi="Times New Roman"/>
          </w:rPr>
          <w:t>http://imepieurasia.ru/baner/vard1.doc/</w:t>
        </w:r>
      </w:hyperlink>
      <w:r w:rsidR="00EC4F23" w:rsidRPr="00BA321C">
        <w:rPr>
          <w:rFonts w:ascii="Times New Roman" w:hAnsi="Times New Roman"/>
          <w:sz w:val="28"/>
          <w:szCs w:val="28"/>
        </w:rPr>
        <w:t xml:space="preserve">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62. </w:t>
      </w:r>
      <w:r w:rsidR="00EC4F23" w:rsidRPr="00BA321C">
        <w:rPr>
          <w:rFonts w:ascii="Times New Roman" w:hAnsi="Times New Roman"/>
          <w:sz w:val="28"/>
          <w:szCs w:val="28"/>
        </w:rPr>
        <w:t>Глушакова О.В. Публичное управление процессами обеспечения качества жизни в социально-экономических системах / под общ. ред. д-ра экон. наук, проф. Н.В. Фадейкиной. - Новосибирск: САФБД, 2012. - 454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63. </w:t>
      </w:r>
      <w:r w:rsidR="00EC4F23" w:rsidRPr="00BA321C">
        <w:rPr>
          <w:rFonts w:ascii="Times New Roman" w:hAnsi="Times New Roman"/>
          <w:sz w:val="28"/>
          <w:szCs w:val="28"/>
        </w:rPr>
        <w:t>Гранберг А.Г. Стратегия территориально-экономического развития России: от идеи к реализации // Вопросы экономики. – 2001. – №9. – С. 15-27.</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64. </w:t>
      </w:r>
      <w:r w:rsidR="00EC4F23" w:rsidRPr="00BA321C">
        <w:rPr>
          <w:rFonts w:ascii="Times New Roman" w:hAnsi="Times New Roman"/>
          <w:sz w:val="28"/>
          <w:szCs w:val="28"/>
        </w:rPr>
        <w:t>Гринчель Б. М. Методический подход к измерению конкурентного потенциала развития регионов и его составляющих // Модернизация и экономическая безопасность России / Под ред. акад. Н. Я. Петракова. - М.: Финансы и кредит, 2009. Т. 1. - 568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65. </w:t>
      </w:r>
      <w:r w:rsidR="00EC4F23" w:rsidRPr="00BA321C">
        <w:rPr>
          <w:rFonts w:ascii="Times New Roman" w:hAnsi="Times New Roman"/>
          <w:sz w:val="28"/>
          <w:szCs w:val="28"/>
        </w:rPr>
        <w:t>Доклад о росте. Стратегии устойчивого роста и инклюзивного развития. Международный банк реконструкции и развития / Всемирный банк. - М.: Весь мир, 2009. - 177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66. </w:t>
      </w:r>
      <w:r w:rsidR="00EC4F23" w:rsidRPr="00BA321C">
        <w:rPr>
          <w:rFonts w:ascii="Times New Roman" w:hAnsi="Times New Roman"/>
          <w:sz w:val="28"/>
          <w:szCs w:val="28"/>
        </w:rPr>
        <w:t>Долгов С.И. Общее экономическое пространство – новый интеграционный формат в условиях глобализации // Российский внешнеэкономический вестник. - 2010. - № 9. - С. 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67. </w:t>
      </w:r>
      <w:r w:rsidR="00EC4F23" w:rsidRPr="00BA321C">
        <w:rPr>
          <w:rFonts w:ascii="Times New Roman" w:hAnsi="Times New Roman"/>
          <w:sz w:val="28"/>
          <w:szCs w:val="28"/>
        </w:rPr>
        <w:t xml:space="preserve">Дубровина Н.А. Оценка эффективности регионального управления // Режим доступа – свободный. </w:t>
      </w:r>
      <w:hyperlink r:id="rId132" w:history="1">
        <w:r w:rsidR="00EC4F23" w:rsidRPr="00BA321C">
          <w:rPr>
            <w:rFonts w:ascii="Times New Roman" w:hAnsi="Times New Roman"/>
          </w:rPr>
          <w:t>http://vestnik-samgu.samsu.ru/gum/2006web8/econ/Dubrovina.pdf</w:t>
        </w:r>
      </w:hyperlink>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68. </w:t>
      </w:r>
      <w:r w:rsidR="00EC4F23" w:rsidRPr="00BA321C">
        <w:rPr>
          <w:rFonts w:ascii="Times New Roman" w:hAnsi="Times New Roman"/>
          <w:sz w:val="28"/>
          <w:szCs w:val="28"/>
        </w:rPr>
        <w:t>Зубаревич Н.В. Региональное развитие и институты. // Региональные исследования. – 2010. - №2. - с.3-15</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69. </w:t>
      </w:r>
      <w:r w:rsidR="00EC4F23" w:rsidRPr="00BA321C">
        <w:rPr>
          <w:rFonts w:ascii="Times New Roman" w:hAnsi="Times New Roman"/>
          <w:sz w:val="28"/>
          <w:szCs w:val="28"/>
        </w:rPr>
        <w:t>Зубаревич Н.В. Территориальный ракурс модернизации // SPERO. - 2009. - №10 Весна-Лето. – с.33-54</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70. </w:t>
      </w:r>
      <w:r w:rsidR="00EC4F23" w:rsidRPr="00BA321C">
        <w:rPr>
          <w:rFonts w:ascii="Times New Roman" w:hAnsi="Times New Roman"/>
          <w:sz w:val="28"/>
          <w:szCs w:val="28"/>
        </w:rPr>
        <w:t>Ибрагимов Р.М. Теоретико-методологические аспекты оценки эффективности муниципального управления // Региональная экономика: теория и практика. – 2009. – № 34. – С. 62-71</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71. </w:t>
      </w:r>
      <w:r w:rsidR="00EC4F23" w:rsidRPr="00BA321C">
        <w:rPr>
          <w:rFonts w:ascii="Times New Roman" w:hAnsi="Times New Roman"/>
          <w:sz w:val="28"/>
          <w:szCs w:val="28"/>
        </w:rPr>
        <w:t>Капогузов Е.А. Институциональные аспекты оценки эффективности государственного управления // Наукові праці ДонНТУ. Серія: Економічна. – 2011. – Вип. 40 – 2. – С. 48-52</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72. </w:t>
      </w:r>
      <w:r w:rsidR="00EC4F23" w:rsidRPr="00BA321C">
        <w:rPr>
          <w:rFonts w:ascii="Times New Roman" w:hAnsi="Times New Roman"/>
          <w:sz w:val="28"/>
          <w:szCs w:val="28"/>
        </w:rPr>
        <w:t>Каракчиев П. Становление европейской политики регионов Великобритании // Мировая экономика и международные отношения. – 2007. – № 6. – С. 21-28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73. </w:t>
      </w:r>
      <w:r w:rsidR="00EC4F23" w:rsidRPr="00BA321C">
        <w:rPr>
          <w:rFonts w:ascii="Times New Roman" w:hAnsi="Times New Roman"/>
          <w:sz w:val="28"/>
          <w:szCs w:val="28"/>
        </w:rPr>
        <w:t>Климов А. А. Пространственное развитие и проблемные территории: социально-экономические аспекты // М.: КомКнига. - 2006. - 288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74. </w:t>
      </w:r>
      <w:r w:rsidR="00EC4F23" w:rsidRPr="00BA321C">
        <w:rPr>
          <w:rFonts w:ascii="Times New Roman" w:hAnsi="Times New Roman"/>
          <w:sz w:val="28"/>
          <w:szCs w:val="28"/>
        </w:rPr>
        <w:t xml:space="preserve">Коваль В. Программирование развития депрессивного региона / В. Коваль, Д. Коваль // Город, регион, государство: проблемы распределения полномочий: Материалы III междунар.науч.-практ. конф., г. Донецк, 24-26 апр. </w:t>
      </w:r>
      <w:smartTag w:uri="urn:schemas-microsoft-com:office:smarttags" w:element="metricconverter">
        <w:smartTagPr>
          <w:attr w:name="ProductID" w:val="50 га"/>
        </w:smartTagPr>
        <w:r w:rsidR="00EC4F23" w:rsidRPr="00BA321C">
          <w:rPr>
            <w:rFonts w:ascii="Times New Roman" w:hAnsi="Times New Roman"/>
            <w:sz w:val="28"/>
            <w:szCs w:val="28"/>
          </w:rPr>
          <w:t>2003 г</w:t>
        </w:r>
      </w:smartTag>
      <w:r w:rsidR="00EC4F23" w:rsidRPr="00BA321C">
        <w:rPr>
          <w:rFonts w:ascii="Times New Roman" w:hAnsi="Times New Roman"/>
          <w:sz w:val="28"/>
          <w:szCs w:val="28"/>
        </w:rPr>
        <w:t>. – Донецк: ООО «Юго-Восток, Лтд», 2003. – С.84-98.</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75. </w:t>
      </w:r>
      <w:r w:rsidR="00EC4F23" w:rsidRPr="00BA321C">
        <w:rPr>
          <w:rFonts w:ascii="Times New Roman" w:hAnsi="Times New Roman"/>
          <w:sz w:val="28"/>
          <w:szCs w:val="28"/>
        </w:rPr>
        <w:t>Колосовский Н.Н. Теория экономического районирования. - М., 1969.</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76. </w:t>
      </w:r>
      <w:r w:rsidR="00EC4F23" w:rsidRPr="00BA321C">
        <w:rPr>
          <w:rFonts w:ascii="Times New Roman" w:hAnsi="Times New Roman"/>
          <w:sz w:val="28"/>
          <w:szCs w:val="28"/>
        </w:rPr>
        <w:t>Королюк Е. В. Вектор экономической политики современной России // Вестник Адыгейского государственного университета. Серия 5: Экономика. - 2011. - № 2. - С. 27-32</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77. </w:t>
      </w:r>
      <w:r w:rsidR="00EC4F23" w:rsidRPr="00BA321C">
        <w:rPr>
          <w:rFonts w:ascii="Times New Roman" w:hAnsi="Times New Roman"/>
          <w:sz w:val="28"/>
          <w:szCs w:val="28"/>
        </w:rPr>
        <w:t>Леонов С.Н. Закономерности и особенности реализации селективной региональной политики зарубежных стран / С.Н. Леонов, О.В. Сидоренко // Пространственная экономика. – 2011. – № 1. – С. 67-80</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78. </w:t>
      </w:r>
      <w:r w:rsidR="00EC4F23" w:rsidRPr="00BA321C">
        <w:rPr>
          <w:rFonts w:ascii="Times New Roman" w:hAnsi="Times New Roman"/>
          <w:sz w:val="28"/>
          <w:szCs w:val="28"/>
        </w:rPr>
        <w:t xml:space="preserve">Либман А.М. Экономическая интеграция и дезинтеграция на постсоветском пространстве // Режим доступа - свободный </w:t>
      </w:r>
      <w:hyperlink r:id="rId133" w:history="1">
        <w:r w:rsidR="00EC4F23" w:rsidRPr="00BA321C">
          <w:rPr>
            <w:rFonts w:ascii="Times New Roman" w:hAnsi="Times New Roman"/>
          </w:rPr>
          <w:t>www.ecfor.ru</w:t>
        </w:r>
      </w:hyperlink>
      <w:r w:rsidR="00EC4F23" w:rsidRPr="00BA321C">
        <w:rPr>
          <w:rFonts w:ascii="Times New Roman" w:hAnsi="Times New Roman"/>
          <w:sz w:val="28"/>
          <w:szCs w:val="28"/>
        </w:rPr>
        <w:t xml:space="preserve">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79. </w:t>
      </w:r>
      <w:r w:rsidR="00EC4F23" w:rsidRPr="00BA321C">
        <w:rPr>
          <w:rFonts w:ascii="Times New Roman" w:hAnsi="Times New Roman"/>
          <w:sz w:val="28"/>
          <w:szCs w:val="28"/>
        </w:rPr>
        <w:t xml:space="preserve">Ляшенко В.И., А. В. Колесникова А.В., Ляшенко С.В. Институциональное обеспечение структурных трансформаций промышленного региона // Научные труды ДонНТУ. Серия: экономическая. – 2014. – №2. – с.23-35.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80. </w:t>
      </w:r>
      <w:r w:rsidR="00EC4F23" w:rsidRPr="00BA321C">
        <w:rPr>
          <w:rFonts w:ascii="Times New Roman" w:hAnsi="Times New Roman"/>
          <w:sz w:val="28"/>
          <w:szCs w:val="28"/>
        </w:rPr>
        <w:t>Маслов Д.В. Концепция оценки эффективности в государственном и муниципальном управлении / Д.В. Маслов, А.Ю. Короленко, В.В. Смирнов // Поволжский вестник качества. – 2006. – № 5 – 6. – С. 1-7</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81. </w:t>
      </w:r>
      <w:r w:rsidR="00EC4F23" w:rsidRPr="00BA321C">
        <w:rPr>
          <w:rFonts w:ascii="Times New Roman" w:hAnsi="Times New Roman"/>
          <w:sz w:val="28"/>
          <w:szCs w:val="28"/>
        </w:rPr>
        <w:t>Новая экономическая политика – политика экономического роста // Институт народнохозяйственного прогнозирования РАН / Под ред. акад. В. В. Ивантера. - М.: ИНП РАН, 2013. - 60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82. </w:t>
      </w:r>
      <w:r w:rsidR="00EC4F23" w:rsidRPr="00BA321C">
        <w:rPr>
          <w:rFonts w:ascii="Times New Roman" w:hAnsi="Times New Roman"/>
          <w:sz w:val="28"/>
          <w:szCs w:val="28"/>
        </w:rPr>
        <w:t>Норт Д. Институты, институциональные изменения и функционирование экономики / Д. Норт; пер. с англ. А.Н. Нестеренко; предисл. и науч. ред. Б.З. Мильнера. – М.: Фонд экономической книги «Начало», 1997. – 180 с.</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83. </w:t>
      </w:r>
      <w:r w:rsidR="00EC4F23" w:rsidRPr="00BA321C">
        <w:rPr>
          <w:rFonts w:ascii="Times New Roman" w:hAnsi="Times New Roman"/>
          <w:sz w:val="28"/>
          <w:szCs w:val="28"/>
        </w:rPr>
        <w:t xml:space="preserve">Пигу А. Экономическая теория благосостояния. – М.: Прогресс, 1985. – Ч. 1. </w:t>
      </w:r>
    </w:p>
    <w:p w:rsidR="00EC4F23" w:rsidRPr="00BA321C" w:rsidRDefault="008777BE"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84. </w:t>
      </w:r>
      <w:r w:rsidR="00EC4F23" w:rsidRPr="00BA321C">
        <w:rPr>
          <w:rFonts w:ascii="Times New Roman" w:hAnsi="Times New Roman"/>
          <w:sz w:val="28"/>
          <w:szCs w:val="28"/>
        </w:rPr>
        <w:t>Плышевский Б. Показатели результативности рыночных реформ // Экономист. – 2002. – № 7. – С. 3-12.</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85. </w:t>
      </w:r>
      <w:r w:rsidR="00EC4F23" w:rsidRPr="00BA321C">
        <w:rPr>
          <w:rFonts w:ascii="Times New Roman" w:hAnsi="Times New Roman"/>
          <w:sz w:val="28"/>
          <w:szCs w:val="28"/>
        </w:rPr>
        <w:t>Полтавский С.А. Дифференциация социально-экономического положения субъектов Российской Федерации и механизм ее сокращения: дисс... канд. экон. наук: 08.00.05: [Электронный ресурс] / С.А. Полтавский. — М.: РГБ, 2009. — 179 c. — Режим доступа: http://www.rsl.ru.</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86. </w:t>
      </w:r>
      <w:r w:rsidR="00EC4F23" w:rsidRPr="00BA321C">
        <w:rPr>
          <w:rFonts w:ascii="Times New Roman" w:hAnsi="Times New Roman"/>
          <w:sz w:val="28"/>
          <w:szCs w:val="28"/>
        </w:rPr>
        <w:t>Полтерович В. Стратегия модернизации, институты и коалиция // Вопросы экономики. – 2008. – № 4. – С. 96-111</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87. </w:t>
      </w:r>
      <w:r w:rsidR="00EC4F23" w:rsidRPr="00BA321C">
        <w:rPr>
          <w:rFonts w:ascii="Times New Roman" w:hAnsi="Times New Roman"/>
          <w:sz w:val="28"/>
          <w:szCs w:val="28"/>
        </w:rPr>
        <w:t xml:space="preserve">Региональная политика стран ЕС / Центр европейских исследований ИМЭМО РАН; Отв. ред. А.В. Кузнецов. – М.: ИМЭМО РАН, 2009. – 230 с. </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88. </w:t>
      </w:r>
      <w:r w:rsidR="00EC4F23" w:rsidRPr="00BA321C">
        <w:rPr>
          <w:rFonts w:ascii="Times New Roman" w:hAnsi="Times New Roman"/>
          <w:sz w:val="28"/>
          <w:szCs w:val="28"/>
        </w:rPr>
        <w:t>Регионы России. Социально-экономические показатели. 2010: Стат. сб. / Росстат. - М., 2006. - 956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89. </w:t>
      </w:r>
      <w:r w:rsidR="00EC4F23" w:rsidRPr="00BA321C">
        <w:rPr>
          <w:rFonts w:ascii="Times New Roman" w:hAnsi="Times New Roman"/>
          <w:sz w:val="28"/>
          <w:szCs w:val="28"/>
        </w:rPr>
        <w:t>Регионы России. Социально-экономические показатели. 2010: Стат. сб. / Росстат. - М., 2007. - 964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90. </w:t>
      </w:r>
      <w:r w:rsidR="00EC4F23" w:rsidRPr="00BA321C">
        <w:rPr>
          <w:rFonts w:ascii="Times New Roman" w:hAnsi="Times New Roman"/>
          <w:sz w:val="28"/>
          <w:szCs w:val="28"/>
        </w:rPr>
        <w:t>Регионы России. Социально-экономические показатели. 2010: Стат. сб. / Росстат. - М., 2008. - 936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91. </w:t>
      </w:r>
      <w:r w:rsidR="00EC4F23" w:rsidRPr="00BA321C">
        <w:rPr>
          <w:rFonts w:ascii="Times New Roman" w:hAnsi="Times New Roman"/>
          <w:sz w:val="28"/>
          <w:szCs w:val="28"/>
        </w:rPr>
        <w:t>Регионы России. Социально-экономические показатели. 2010: Стат. сб. / Росстат. - М., 2009. - 987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92. </w:t>
      </w:r>
      <w:r w:rsidR="00EC4F23" w:rsidRPr="00BA321C">
        <w:rPr>
          <w:rFonts w:ascii="Times New Roman" w:hAnsi="Times New Roman"/>
          <w:sz w:val="28"/>
          <w:szCs w:val="28"/>
        </w:rPr>
        <w:t>Регионы России. Социально-экономические показатели. 2010: Стат. сб. / Росстат. - М., 2010. - 996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93. </w:t>
      </w:r>
      <w:r w:rsidR="00EC4F23" w:rsidRPr="00BA321C">
        <w:rPr>
          <w:rFonts w:ascii="Times New Roman" w:hAnsi="Times New Roman"/>
          <w:sz w:val="28"/>
          <w:szCs w:val="28"/>
        </w:rPr>
        <w:t>Регионы России. Социально-экономические показатели. 2011:  Стат. сб. / Росстат. - М., 2011. - 990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lastRenderedPageBreak/>
        <w:t xml:space="preserve">94. </w:t>
      </w:r>
      <w:r w:rsidR="00EC4F23" w:rsidRPr="00BA321C">
        <w:rPr>
          <w:rFonts w:ascii="Times New Roman" w:hAnsi="Times New Roman"/>
          <w:sz w:val="28"/>
          <w:szCs w:val="28"/>
        </w:rPr>
        <w:t>Регионы России. Социально-экономические показатели. 2012: Стат. сб. / Росстат. - М., 2012. - 990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95. </w:t>
      </w:r>
      <w:r w:rsidR="00EC4F23" w:rsidRPr="00BA321C">
        <w:rPr>
          <w:rFonts w:ascii="Times New Roman" w:hAnsi="Times New Roman"/>
          <w:sz w:val="28"/>
          <w:szCs w:val="28"/>
        </w:rPr>
        <w:t>Регионы России. Социально-экономические показатели. 2013: Стат. сб. / Росстат. - М., 2013. - 990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96. </w:t>
      </w:r>
      <w:r w:rsidR="00EC4F23" w:rsidRPr="00BA321C">
        <w:rPr>
          <w:rFonts w:ascii="Times New Roman" w:hAnsi="Times New Roman"/>
          <w:sz w:val="28"/>
          <w:szCs w:val="28"/>
        </w:rPr>
        <w:t>Регионы России. Социально-экономические показатели. 2014: Стат. сб. / Росстат. - М., 2014. - 900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97. </w:t>
      </w:r>
      <w:r w:rsidR="00EC4F23" w:rsidRPr="00BA321C">
        <w:rPr>
          <w:rFonts w:ascii="Times New Roman" w:hAnsi="Times New Roman"/>
          <w:sz w:val="28"/>
          <w:szCs w:val="28"/>
        </w:rPr>
        <w:t xml:space="preserve">Савченко П. Социальные приоритеты: проблемы и решения // Экономист. – 1995. – № 5. </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98. </w:t>
      </w:r>
      <w:r w:rsidR="00EC4F23" w:rsidRPr="00BA321C">
        <w:rPr>
          <w:rFonts w:ascii="Times New Roman" w:hAnsi="Times New Roman"/>
          <w:sz w:val="28"/>
          <w:szCs w:val="28"/>
        </w:rPr>
        <w:t>Стратегическое управление : регион, город, предприятие / Под ред. Д.С.Львова, А.Г.Гранберга, А.П.Егоршина: 000 РАН, НИМБ. – М.: ЗАО «Изд-во «Экономика», 2004. – 605 с.</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99. </w:t>
      </w:r>
      <w:r w:rsidR="00EC4F23" w:rsidRPr="00BA321C">
        <w:rPr>
          <w:rFonts w:ascii="Times New Roman" w:hAnsi="Times New Roman"/>
          <w:sz w:val="28"/>
          <w:szCs w:val="28"/>
        </w:rPr>
        <w:t>Суспицын С.А. Анализ динамики пространственной структуры экономики России на основе генетического подхода // Регион: экономика и социология. – 2011. – № 2. – С. 80–99.</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100. </w:t>
      </w:r>
      <w:r w:rsidR="00EC4F23" w:rsidRPr="00BA321C">
        <w:rPr>
          <w:rFonts w:ascii="Times New Roman" w:hAnsi="Times New Roman"/>
          <w:sz w:val="28"/>
          <w:szCs w:val="28"/>
        </w:rPr>
        <w:t>Суспицын С.А. Оценка потенциального экономического роста регионов на основе региональных фенотипов // Регион: экономика и социология. – 2010. – № 4. – С. 307–315</w:t>
      </w:r>
    </w:p>
    <w:p w:rsidR="00EC4F23" w:rsidRPr="00BA321C" w:rsidRDefault="00475225"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101. </w:t>
      </w:r>
      <w:r w:rsidR="00EC4F23" w:rsidRPr="00BA321C">
        <w:rPr>
          <w:rFonts w:ascii="Times New Roman" w:hAnsi="Times New Roman"/>
          <w:sz w:val="28"/>
          <w:szCs w:val="28"/>
        </w:rPr>
        <w:t>Трансформация экономических институтов в постсоветской России. / под ред. Р.М. Нуреева. – М.: Московский общественный научный фонд, 2000. – 304 с.</w:t>
      </w: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04176" w:rsidRPr="00BA321C" w:rsidRDefault="00804176" w:rsidP="00BA321C">
      <w:pPr>
        <w:shd w:val="clear" w:color="auto" w:fill="FFFFFF" w:themeFill="background1"/>
        <w:spacing w:after="0" w:line="360" w:lineRule="auto"/>
        <w:jc w:val="both"/>
        <w:rPr>
          <w:rFonts w:ascii="Times New Roman" w:hAnsi="Times New Roman"/>
          <w:sz w:val="28"/>
          <w:szCs w:val="28"/>
        </w:rPr>
      </w:pPr>
    </w:p>
    <w:p w:rsidR="008355A3" w:rsidRPr="00BA321C" w:rsidRDefault="008355A3" w:rsidP="00BA321C">
      <w:pPr>
        <w:shd w:val="clear" w:color="auto" w:fill="FFFFFF" w:themeFill="background1"/>
        <w:spacing w:after="0" w:line="360" w:lineRule="auto"/>
        <w:jc w:val="both"/>
        <w:rPr>
          <w:rFonts w:ascii="Times New Roman" w:hAnsi="Times New Roman"/>
          <w:sz w:val="28"/>
          <w:szCs w:val="28"/>
        </w:rPr>
        <w:sectPr w:rsidR="008355A3" w:rsidRPr="00BA321C">
          <w:pgSz w:w="11906" w:h="16838"/>
          <w:pgMar w:top="1134" w:right="850" w:bottom="1134" w:left="1701" w:header="708" w:footer="708" w:gutter="0"/>
          <w:cols w:space="708"/>
          <w:docGrid w:linePitch="360"/>
        </w:sectPr>
      </w:pPr>
    </w:p>
    <w:p w:rsidR="008355A3" w:rsidRPr="00BA321C" w:rsidRDefault="008355A3" w:rsidP="00C35E98">
      <w:pPr>
        <w:pStyle w:val="3"/>
        <w:jc w:val="right"/>
      </w:pPr>
      <w:bookmarkStart w:id="16" w:name="_Toc451869599"/>
      <w:r w:rsidRPr="00BA321C">
        <w:lastRenderedPageBreak/>
        <w:t>Приложение 1</w:t>
      </w:r>
      <w:bookmarkEnd w:id="16"/>
    </w:p>
    <w:p w:rsidR="00585FF7" w:rsidRPr="00BA321C" w:rsidRDefault="00585FF7" w:rsidP="00BA321C">
      <w:pPr>
        <w:shd w:val="clear" w:color="auto" w:fill="FFFFFF" w:themeFill="background1"/>
        <w:spacing w:after="0" w:line="360" w:lineRule="auto"/>
        <w:jc w:val="right"/>
        <w:rPr>
          <w:rFonts w:ascii="Times New Roman" w:hAnsi="Times New Roman"/>
          <w:sz w:val="28"/>
          <w:szCs w:val="28"/>
        </w:rPr>
      </w:pPr>
    </w:p>
    <w:p w:rsidR="008355A3" w:rsidRPr="00BA321C" w:rsidRDefault="008355A3" w:rsidP="00BA321C">
      <w:pPr>
        <w:shd w:val="clear" w:color="auto" w:fill="FFFFFF" w:themeFill="background1"/>
        <w:spacing w:after="0" w:line="360" w:lineRule="auto"/>
        <w:jc w:val="both"/>
        <w:rPr>
          <w:rFonts w:ascii="Times New Roman" w:hAnsi="Times New Roman"/>
          <w:sz w:val="28"/>
          <w:szCs w:val="28"/>
          <w:lang w:eastAsia="ru-RU"/>
        </w:rPr>
      </w:pPr>
      <w:r w:rsidRPr="00BA321C">
        <w:rPr>
          <w:rFonts w:ascii="Times New Roman" w:hAnsi="Times New Roman"/>
          <w:sz w:val="28"/>
          <w:szCs w:val="28"/>
          <w:lang w:eastAsia="ru-RU"/>
        </w:rPr>
        <w:t>Таблица 2.2.1 - Показатели, формирующие значения частных субиндикаторов (факторов), определяющих интегральное значение индекса социально-экономической привлекательности размещения региональных производительных сил</w:t>
      </w:r>
    </w:p>
    <w:tbl>
      <w:tblPr>
        <w:tblW w:w="15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28"/>
        <w:gridCol w:w="11284"/>
      </w:tblGrid>
      <w:tr w:rsidR="008355A3" w:rsidRPr="00BA321C" w:rsidTr="00850219">
        <w:trPr>
          <w:trHeight w:val="20"/>
        </w:trPr>
        <w:tc>
          <w:tcPr>
            <w:tcW w:w="4028" w:type="dxa"/>
          </w:tcPr>
          <w:p w:rsidR="008355A3" w:rsidRPr="00BA321C" w:rsidRDefault="008355A3" w:rsidP="00BA321C">
            <w:pPr>
              <w:shd w:val="clear" w:color="auto" w:fill="FFFFFF" w:themeFill="background1"/>
              <w:spacing w:after="0" w:line="240" w:lineRule="auto"/>
              <w:jc w:val="center"/>
              <w:rPr>
                <w:rFonts w:ascii="Times New Roman" w:hAnsi="Times New Roman"/>
                <w:b/>
                <w:sz w:val="24"/>
                <w:szCs w:val="24"/>
                <w:lang w:eastAsia="ru-RU"/>
              </w:rPr>
            </w:pPr>
            <w:r w:rsidRPr="00BA321C">
              <w:rPr>
                <w:rFonts w:ascii="Times New Roman" w:hAnsi="Times New Roman"/>
                <w:b/>
                <w:sz w:val="24"/>
                <w:szCs w:val="24"/>
                <w:lang w:eastAsia="ru-RU"/>
              </w:rPr>
              <w:t>Индикаторы</w:t>
            </w:r>
          </w:p>
        </w:tc>
        <w:tc>
          <w:tcPr>
            <w:tcW w:w="11284" w:type="dxa"/>
          </w:tcPr>
          <w:p w:rsidR="008355A3" w:rsidRPr="00BA321C" w:rsidRDefault="008355A3" w:rsidP="00BA321C">
            <w:pPr>
              <w:shd w:val="clear" w:color="auto" w:fill="FFFFFF" w:themeFill="background1"/>
              <w:spacing w:after="0" w:line="240" w:lineRule="auto"/>
              <w:jc w:val="center"/>
              <w:rPr>
                <w:rFonts w:ascii="Times New Roman" w:hAnsi="Times New Roman"/>
                <w:sz w:val="24"/>
                <w:szCs w:val="24"/>
                <w:lang w:eastAsia="ru-RU"/>
              </w:rPr>
            </w:pPr>
            <w:r w:rsidRPr="00BA321C">
              <w:rPr>
                <w:rFonts w:ascii="Times New Roman" w:hAnsi="Times New Roman"/>
                <w:sz w:val="24"/>
                <w:szCs w:val="24"/>
                <w:lang w:eastAsia="ru-RU"/>
              </w:rPr>
              <w:t xml:space="preserve">Показатели </w:t>
            </w:r>
          </w:p>
        </w:tc>
      </w:tr>
      <w:tr w:rsidR="008355A3" w:rsidRPr="00BA321C" w:rsidTr="00850219">
        <w:trPr>
          <w:trHeight w:val="20"/>
        </w:trPr>
        <w:tc>
          <w:tcPr>
            <w:tcW w:w="15312" w:type="dxa"/>
            <w:gridSpan w:val="2"/>
          </w:tcPr>
          <w:p w:rsidR="008355A3" w:rsidRPr="00BA321C" w:rsidRDefault="008355A3" w:rsidP="00BA321C">
            <w:pPr>
              <w:shd w:val="clear" w:color="auto" w:fill="FFFFFF" w:themeFill="background1"/>
              <w:tabs>
                <w:tab w:val="left" w:pos="317"/>
              </w:tabs>
              <w:spacing w:after="0" w:line="240" w:lineRule="auto"/>
              <w:contextualSpacing/>
              <w:jc w:val="center"/>
              <w:rPr>
                <w:rFonts w:ascii="Times New Roman" w:hAnsi="Times New Roman"/>
                <w:sz w:val="24"/>
                <w:szCs w:val="24"/>
                <w:lang w:eastAsia="ru-RU"/>
              </w:rPr>
            </w:pPr>
            <w:r w:rsidRPr="00BA321C">
              <w:rPr>
                <w:rFonts w:ascii="Times New Roman" w:hAnsi="Times New Roman"/>
                <w:sz w:val="24"/>
                <w:szCs w:val="24"/>
                <w:lang w:val="en-US" w:eastAsia="ru-RU"/>
              </w:rPr>
              <w:t>I</w:t>
            </w:r>
            <w:r w:rsidRPr="00BA321C">
              <w:rPr>
                <w:rFonts w:ascii="Times New Roman" w:hAnsi="Times New Roman"/>
                <w:sz w:val="24"/>
                <w:szCs w:val="24"/>
                <w:lang w:eastAsia="ru-RU"/>
              </w:rPr>
              <w:t xml:space="preserve"> Блок: факторы экономического порядка</w:t>
            </w:r>
          </w:p>
        </w:tc>
      </w:tr>
      <w:tr w:rsidR="008355A3" w:rsidRPr="00BA321C" w:rsidTr="00850219">
        <w:trPr>
          <w:trHeight w:val="20"/>
        </w:trPr>
        <w:tc>
          <w:tcPr>
            <w:tcW w:w="4028" w:type="dxa"/>
          </w:tcPr>
          <w:p w:rsidR="008355A3" w:rsidRPr="00BA321C" w:rsidRDefault="008355A3" w:rsidP="00BA321C">
            <w:pPr>
              <w:shd w:val="clear" w:color="auto" w:fill="FFFFFF" w:themeFill="background1"/>
              <w:tabs>
                <w:tab w:val="left" w:pos="525"/>
              </w:tabs>
              <w:spacing w:after="0" w:line="240" w:lineRule="auto"/>
              <w:jc w:val="both"/>
              <w:rPr>
                <w:rFonts w:ascii="Times New Roman" w:hAnsi="Times New Roman"/>
                <w:b/>
                <w:sz w:val="24"/>
                <w:szCs w:val="24"/>
                <w:lang w:eastAsia="ru-RU"/>
              </w:rPr>
            </w:pPr>
            <w:r w:rsidRPr="00BA321C">
              <w:rPr>
                <w:rFonts w:ascii="Times New Roman" w:eastAsia="Times New Roman" w:hAnsi="Times New Roman"/>
                <w:sz w:val="24"/>
                <w:szCs w:val="24"/>
                <w:lang w:eastAsia="ru-RU"/>
              </w:rPr>
              <w:t>Демографический потенциал</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Удельный вес городского населения в общей численности населения</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Коэффициент естественного прироста населения (на 1000 человек населения)</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Инвестиционная привлекательность</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Инвестиции в основной капитал на душу населения</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Иностранные инвестиции</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Промышленный потенциал</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Объем отгруженных товаров собственного производства, выполненных работ и услуг собственными силами (вид деятельности – Добыча полезных ископаемых)</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Объем отгруженных товаров собственного производства, выполненных работ и услуг собственными силами (вид деятельности – Обрабатывающая промышленность)</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3. Объем отгруженных товаров собственного производства, выполненных работ и услуг собственными силами (вид деятельности – Производство электроэнергии, газа и воды)</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Развитие информационно-коммуникационных технологий</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Затраты на информационные и коммуникационные технологии (миллионов рублей)</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Объем услуг связи населению (на душу населения)</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Развитие транспортной инфраструктуры</w:t>
            </w:r>
          </w:p>
        </w:tc>
        <w:tc>
          <w:tcPr>
            <w:tcW w:w="11284" w:type="dxa"/>
          </w:tcPr>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1. Плотность железнодорожных путей общего пользования, километров путей на 10000 квадратных километров территории</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Плотность автомобильных дорог общего пользования с твердым покрытием</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3. Удельный вес автомобильных дорог с твердым покрытием в общей протяженности автомобильных дорог общего пользования</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4. Удельный вес автомобильных дорог с усовершенствованным покрытием в общей протяженности автомобильных дорог с твердым покрытием общего пользования</w:t>
            </w:r>
          </w:p>
          <w:p w:rsidR="003C4A7E" w:rsidRPr="00BA321C" w:rsidRDefault="003C4A7E"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5. Положение по отношению к основным межрайонным речным системам, да/нет</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Сельскохозяйственный потенциал</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Посевные площади всех сельскохозяйственных культур</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2. Продукция сельского хозяйства (в хозяйствах всех категорий)</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3. Рентабельность проданных товаров, продукции (работ, услуг) организаций, осуществляющих деятельность в растениеводстве и животноводства</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lastRenderedPageBreak/>
              <w:t>Степень развития трудовых ресурсов</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Среднегодовая численность занятых в экономике, тысяч человек</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2. Коэффициент миграционного прироста (на 10 000 человек населения)</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3. Уровень экономической активности населения (в процентах)</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4. Уровень безработицы</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5. Численность иностранных граждан, осуществляющих трудовую деятельность в России</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Степень развития энергетического комплекса</w:t>
            </w:r>
          </w:p>
        </w:tc>
        <w:tc>
          <w:tcPr>
            <w:tcW w:w="11284" w:type="dxa"/>
          </w:tcPr>
          <w:p w:rsidR="008355A3" w:rsidRPr="00BA321C" w:rsidRDefault="008355A3" w:rsidP="00BA321C">
            <w:pPr>
              <w:shd w:val="clear" w:color="auto" w:fill="FFFFFF" w:themeFill="background1"/>
              <w:spacing w:after="0" w:line="240" w:lineRule="auto"/>
              <w:ind w:left="33"/>
              <w:jc w:val="both"/>
              <w:rPr>
                <w:rFonts w:ascii="Times New Roman" w:hAnsi="Times New Roman"/>
                <w:sz w:val="24"/>
                <w:szCs w:val="24"/>
                <w:lang w:eastAsia="ru-RU"/>
              </w:rPr>
            </w:pPr>
            <w:r w:rsidRPr="00BA321C">
              <w:rPr>
                <w:rFonts w:ascii="Times New Roman" w:hAnsi="Times New Roman"/>
                <w:sz w:val="24"/>
                <w:szCs w:val="24"/>
                <w:lang w:eastAsia="ru-RU"/>
              </w:rPr>
              <w:t>1. Производство электроэнергии, Млн. кВт▪ч</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Мощность электростанций</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Уровень развития рыночной инфраструктуры</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Оборот малых предприятий</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2. Оборот розничной торговли на душу населения*</w:t>
            </w:r>
          </w:p>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3. Удельный вес убыточных организаций</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4. Объем платных услуг на душу населения</w:t>
            </w:r>
          </w:p>
        </w:tc>
      </w:tr>
      <w:tr w:rsidR="008355A3" w:rsidRPr="00BA321C" w:rsidTr="00850219">
        <w:trPr>
          <w:trHeight w:val="20"/>
        </w:trPr>
        <w:tc>
          <w:tcPr>
            <w:tcW w:w="15312" w:type="dxa"/>
            <w:gridSpan w:val="2"/>
          </w:tcPr>
          <w:p w:rsidR="008355A3" w:rsidRPr="00BA321C" w:rsidRDefault="008355A3" w:rsidP="00BA321C">
            <w:pPr>
              <w:shd w:val="clear" w:color="auto" w:fill="FFFFFF" w:themeFill="background1"/>
              <w:tabs>
                <w:tab w:val="left" w:pos="317"/>
              </w:tabs>
              <w:spacing w:after="0" w:line="240" w:lineRule="auto"/>
              <w:contextualSpacing/>
              <w:jc w:val="center"/>
              <w:rPr>
                <w:rFonts w:ascii="Times New Roman" w:hAnsi="Times New Roman"/>
                <w:sz w:val="24"/>
                <w:szCs w:val="24"/>
                <w:lang w:eastAsia="ru-RU"/>
              </w:rPr>
            </w:pPr>
            <w:r w:rsidRPr="00BA321C">
              <w:rPr>
                <w:rFonts w:ascii="Times New Roman" w:hAnsi="Times New Roman"/>
                <w:sz w:val="24"/>
                <w:szCs w:val="24"/>
                <w:lang w:eastAsia="ru-RU"/>
              </w:rPr>
              <w:t>2 Блок: факторы социального порядка</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Криминогенный фактор</w:t>
            </w:r>
          </w:p>
        </w:tc>
        <w:tc>
          <w:tcPr>
            <w:tcW w:w="11284" w:type="dxa"/>
          </w:tcPr>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1. Число зарегистрированных преступлений на 100000 человек населения</w:t>
            </w:r>
          </w:p>
        </w:tc>
      </w:tr>
      <w:tr w:rsidR="008355A3" w:rsidRPr="00BA321C" w:rsidTr="00850219">
        <w:trPr>
          <w:trHeight w:val="20"/>
        </w:trPr>
        <w:tc>
          <w:tcPr>
            <w:tcW w:w="4028" w:type="dxa"/>
            <w:vAlign w:val="center"/>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Степень экологического благополучия.</w:t>
            </w:r>
          </w:p>
        </w:tc>
        <w:tc>
          <w:tcPr>
            <w:tcW w:w="11284" w:type="dxa"/>
          </w:tcPr>
          <w:p w:rsidR="008355A3" w:rsidRPr="00BA321C" w:rsidRDefault="008355A3"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Выбросы загрязняющих веществ в атмосферный воздух, отходящих от стационарных источников</w:t>
            </w:r>
          </w:p>
          <w:p w:rsidR="008355A3" w:rsidRPr="00BA321C" w:rsidRDefault="008355A3"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Сброс загрязненных сточных вод в поверхностные водные объекты</w:t>
            </w:r>
          </w:p>
        </w:tc>
      </w:tr>
      <w:tr w:rsidR="008355A3" w:rsidRPr="00BA321C" w:rsidTr="00850219">
        <w:trPr>
          <w:trHeight w:val="20"/>
        </w:trPr>
        <w:tc>
          <w:tcPr>
            <w:tcW w:w="4028" w:type="dxa"/>
            <w:vAlign w:val="bottom"/>
          </w:tcPr>
          <w:p w:rsidR="008355A3" w:rsidRPr="00BA321C" w:rsidRDefault="008355A3"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Степень развития социального пространства</w:t>
            </w:r>
          </w:p>
        </w:tc>
        <w:tc>
          <w:tcPr>
            <w:tcW w:w="11284" w:type="dxa"/>
          </w:tcPr>
          <w:p w:rsidR="00850219" w:rsidRPr="00BA321C" w:rsidRDefault="00850219"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1. Индекс реальных денежных доходов населения</w:t>
            </w:r>
          </w:p>
          <w:p w:rsidR="00850219" w:rsidRPr="00BA321C" w:rsidRDefault="00850219"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2. Уровень общей безработицы</w:t>
            </w:r>
          </w:p>
          <w:p w:rsidR="00850219" w:rsidRPr="00BA321C" w:rsidRDefault="00850219"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3. Доля населения с доходами ниже прожиточного минимума</w:t>
            </w:r>
          </w:p>
        </w:tc>
      </w:tr>
      <w:tr w:rsidR="00850219" w:rsidRPr="00BA321C" w:rsidTr="00850219">
        <w:trPr>
          <w:trHeight w:val="20"/>
        </w:trPr>
        <w:tc>
          <w:tcPr>
            <w:tcW w:w="15312" w:type="dxa"/>
            <w:gridSpan w:val="2"/>
            <w:vAlign w:val="bottom"/>
          </w:tcPr>
          <w:p w:rsidR="00850219" w:rsidRPr="00BA321C" w:rsidRDefault="00850219" w:rsidP="00BA321C">
            <w:pPr>
              <w:shd w:val="clear" w:color="auto" w:fill="FFFFFF" w:themeFill="background1"/>
              <w:spacing w:after="0" w:line="240" w:lineRule="auto"/>
              <w:jc w:val="center"/>
              <w:rPr>
                <w:rFonts w:ascii="Times New Roman" w:hAnsi="Times New Roman"/>
                <w:sz w:val="24"/>
                <w:szCs w:val="24"/>
                <w:lang w:eastAsia="ru-RU"/>
              </w:rPr>
            </w:pPr>
            <w:r w:rsidRPr="00BA321C">
              <w:rPr>
                <w:rFonts w:ascii="Times New Roman" w:hAnsi="Times New Roman"/>
                <w:sz w:val="24"/>
                <w:szCs w:val="24"/>
                <w:lang w:eastAsia="ru-RU"/>
              </w:rPr>
              <w:t>3 Блок: факторы институционального порядка</w:t>
            </w:r>
          </w:p>
        </w:tc>
      </w:tr>
      <w:tr w:rsidR="00850219" w:rsidRPr="00BA321C" w:rsidTr="00850219">
        <w:trPr>
          <w:trHeight w:val="20"/>
        </w:trPr>
        <w:tc>
          <w:tcPr>
            <w:tcW w:w="4028" w:type="dxa"/>
            <w:vAlign w:val="center"/>
          </w:tcPr>
          <w:p w:rsidR="00850219" w:rsidRPr="00BA321C" w:rsidRDefault="00850219" w:rsidP="00BA321C">
            <w:pPr>
              <w:shd w:val="clear" w:color="auto" w:fill="FFFFFF" w:themeFill="background1"/>
              <w:spacing w:after="0" w:line="240" w:lineRule="auto"/>
              <w:jc w:val="both"/>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Научно-образовательный потенциал</w:t>
            </w:r>
          </w:p>
        </w:tc>
        <w:tc>
          <w:tcPr>
            <w:tcW w:w="11284" w:type="dxa"/>
          </w:tcPr>
          <w:p w:rsidR="00850219" w:rsidRPr="00BA321C" w:rsidRDefault="00850219" w:rsidP="00BA321C">
            <w:pPr>
              <w:shd w:val="clear" w:color="auto" w:fill="FFFFFF" w:themeFill="background1"/>
              <w:spacing w:after="0" w:line="240" w:lineRule="auto"/>
              <w:jc w:val="both"/>
              <w:rPr>
                <w:rFonts w:ascii="Times New Roman" w:hAnsi="Times New Roman"/>
                <w:sz w:val="24"/>
                <w:szCs w:val="24"/>
                <w:lang w:eastAsia="ru-RU"/>
              </w:rPr>
            </w:pPr>
            <w:r w:rsidRPr="00BA321C">
              <w:rPr>
                <w:rFonts w:ascii="Times New Roman" w:hAnsi="Times New Roman"/>
                <w:sz w:val="24"/>
                <w:szCs w:val="24"/>
                <w:lang w:eastAsia="ru-RU"/>
              </w:rPr>
              <w:t>1. Выпуск специалистов образовательными учреждениями среднего профессионального образования</w:t>
            </w:r>
          </w:p>
          <w:p w:rsidR="00850219" w:rsidRPr="00BA321C" w:rsidRDefault="00850219" w:rsidP="00BA321C">
            <w:pPr>
              <w:shd w:val="clear" w:color="auto" w:fill="FFFFFF" w:themeFill="background1"/>
              <w:spacing w:after="0" w:line="240" w:lineRule="auto"/>
              <w:ind w:left="33"/>
              <w:jc w:val="both"/>
              <w:rPr>
                <w:rFonts w:ascii="Times New Roman" w:hAnsi="Times New Roman"/>
                <w:sz w:val="24"/>
                <w:szCs w:val="24"/>
                <w:lang w:eastAsia="ru-RU"/>
              </w:rPr>
            </w:pPr>
            <w:r w:rsidRPr="00BA321C">
              <w:rPr>
                <w:rFonts w:ascii="Times New Roman" w:hAnsi="Times New Roman"/>
                <w:sz w:val="24"/>
                <w:szCs w:val="24"/>
                <w:lang w:eastAsia="ru-RU"/>
              </w:rPr>
              <w:t>2. Выпуск специалистов образовательными учреждениями высшего профессионального образования</w:t>
            </w:r>
          </w:p>
          <w:p w:rsidR="00850219" w:rsidRPr="00BA321C" w:rsidRDefault="00850219" w:rsidP="00BA321C">
            <w:pPr>
              <w:shd w:val="clear" w:color="auto" w:fill="FFFFFF" w:themeFill="background1"/>
              <w:spacing w:after="0" w:line="240" w:lineRule="auto"/>
              <w:ind w:left="33"/>
              <w:jc w:val="both"/>
              <w:rPr>
                <w:rFonts w:ascii="Times New Roman" w:hAnsi="Times New Roman"/>
                <w:sz w:val="24"/>
                <w:szCs w:val="24"/>
                <w:lang w:eastAsia="ru-RU"/>
              </w:rPr>
            </w:pPr>
            <w:r w:rsidRPr="00BA321C">
              <w:rPr>
                <w:rFonts w:ascii="Times New Roman" w:hAnsi="Times New Roman"/>
                <w:sz w:val="24"/>
                <w:szCs w:val="24"/>
                <w:lang w:eastAsia="ru-RU"/>
              </w:rPr>
              <w:t>3. Выпуск квалифицированных рабочих и служащих из образовательных учреждений начального профессионального образования</w:t>
            </w:r>
          </w:p>
          <w:p w:rsidR="00850219" w:rsidRPr="00BA321C" w:rsidRDefault="00850219" w:rsidP="00BA321C">
            <w:pPr>
              <w:shd w:val="clear" w:color="auto" w:fill="FFFFFF" w:themeFill="background1"/>
              <w:spacing w:after="0" w:line="240" w:lineRule="auto"/>
              <w:ind w:left="33"/>
              <w:jc w:val="both"/>
              <w:rPr>
                <w:rFonts w:ascii="Times New Roman" w:hAnsi="Times New Roman"/>
                <w:sz w:val="24"/>
                <w:szCs w:val="24"/>
                <w:lang w:eastAsia="ru-RU"/>
              </w:rPr>
            </w:pPr>
            <w:r w:rsidRPr="00BA321C">
              <w:rPr>
                <w:rFonts w:ascii="Times New Roman" w:hAnsi="Times New Roman"/>
                <w:sz w:val="24"/>
                <w:szCs w:val="24"/>
                <w:lang w:eastAsia="ru-RU"/>
              </w:rPr>
              <w:t>4. Внутренние затраты на научные исследования и разработки</w:t>
            </w:r>
          </w:p>
          <w:p w:rsidR="00850219" w:rsidRPr="00BA321C" w:rsidRDefault="00850219" w:rsidP="00BA321C">
            <w:pPr>
              <w:shd w:val="clear" w:color="auto" w:fill="FFFFFF" w:themeFill="background1"/>
              <w:tabs>
                <w:tab w:val="left" w:pos="317"/>
              </w:tabs>
              <w:spacing w:after="0" w:line="240" w:lineRule="auto"/>
              <w:contextualSpacing/>
              <w:jc w:val="both"/>
              <w:rPr>
                <w:rFonts w:ascii="Times New Roman" w:hAnsi="Times New Roman"/>
                <w:sz w:val="24"/>
                <w:szCs w:val="24"/>
                <w:lang w:eastAsia="ru-RU"/>
              </w:rPr>
            </w:pPr>
            <w:r w:rsidRPr="00BA321C">
              <w:rPr>
                <w:rFonts w:ascii="Times New Roman" w:hAnsi="Times New Roman"/>
                <w:sz w:val="24"/>
                <w:szCs w:val="24"/>
                <w:lang w:eastAsia="ru-RU"/>
              </w:rPr>
              <w:t>5. Инновационная активность организаций</w:t>
            </w:r>
          </w:p>
        </w:tc>
      </w:tr>
    </w:tbl>
    <w:p w:rsidR="008355A3" w:rsidRPr="00BA321C" w:rsidRDefault="008355A3" w:rsidP="00BA321C">
      <w:pPr>
        <w:shd w:val="clear" w:color="auto" w:fill="FFFFFF" w:themeFill="background1"/>
        <w:spacing w:after="0" w:line="360" w:lineRule="auto"/>
        <w:jc w:val="both"/>
        <w:rPr>
          <w:rFonts w:ascii="Times New Roman" w:hAnsi="Times New Roman"/>
          <w:sz w:val="28"/>
          <w:szCs w:val="28"/>
        </w:rPr>
      </w:pPr>
    </w:p>
    <w:p w:rsidR="008355A3" w:rsidRPr="00BA321C" w:rsidRDefault="008355A3" w:rsidP="00BA321C">
      <w:pPr>
        <w:shd w:val="clear" w:color="auto" w:fill="FFFFFF" w:themeFill="background1"/>
        <w:spacing w:after="0" w:line="360" w:lineRule="auto"/>
        <w:jc w:val="both"/>
        <w:rPr>
          <w:rFonts w:ascii="Times New Roman" w:hAnsi="Times New Roman"/>
          <w:sz w:val="28"/>
          <w:szCs w:val="28"/>
        </w:rPr>
        <w:sectPr w:rsidR="008355A3" w:rsidRPr="00BA321C" w:rsidSect="008355A3">
          <w:pgSz w:w="16838" w:h="11906" w:orient="landscape"/>
          <w:pgMar w:top="1701" w:right="1134" w:bottom="850" w:left="1134" w:header="708" w:footer="708" w:gutter="0"/>
          <w:cols w:space="708"/>
          <w:docGrid w:linePitch="360"/>
        </w:sectPr>
      </w:pPr>
    </w:p>
    <w:p w:rsidR="00F326CE" w:rsidRPr="00BA321C" w:rsidRDefault="00F326CE" w:rsidP="00C35E98">
      <w:pPr>
        <w:pStyle w:val="3"/>
        <w:jc w:val="right"/>
      </w:pPr>
      <w:bookmarkStart w:id="17" w:name="_Toc451869600"/>
      <w:bookmarkStart w:id="18" w:name="_Toc345594375"/>
      <w:r w:rsidRPr="00BA321C">
        <w:lastRenderedPageBreak/>
        <w:t>Приложение 2</w:t>
      </w:r>
      <w:bookmarkEnd w:id="17"/>
    </w:p>
    <w:p w:rsidR="00B043D6" w:rsidRPr="00BA321C" w:rsidRDefault="00B043D6" w:rsidP="00BA321C">
      <w:pPr>
        <w:shd w:val="clear" w:color="auto" w:fill="FFFFFF" w:themeFill="background1"/>
        <w:spacing w:after="0" w:line="240" w:lineRule="auto"/>
        <w:jc w:val="both"/>
        <w:rPr>
          <w:rFonts w:ascii="Times New Roman" w:hAnsi="Times New Roman"/>
          <w:sz w:val="28"/>
          <w:szCs w:val="28"/>
          <w:lang w:eastAsia="ru-RU"/>
        </w:rPr>
      </w:pPr>
    </w:p>
    <w:p w:rsidR="003C1BC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r w:rsidRPr="00BA321C">
        <w:rPr>
          <w:rFonts w:ascii="Times New Roman" w:hAnsi="Times New Roman"/>
          <w:sz w:val="28"/>
          <w:szCs w:val="28"/>
          <w:lang w:eastAsia="ru-RU"/>
        </w:rPr>
        <w:t xml:space="preserve">Таблица П2.1 - </w:t>
      </w:r>
      <w:r w:rsidR="003C1BC1" w:rsidRPr="00BA321C">
        <w:rPr>
          <w:rFonts w:ascii="Times New Roman" w:hAnsi="Times New Roman"/>
          <w:sz w:val="28"/>
          <w:szCs w:val="28"/>
          <w:lang w:eastAsia="ru-RU"/>
        </w:rPr>
        <w:t>Значения субиндексов интегрального индекса СЭП социально-экономической привлекательности регионов Приволжского федерального округа, 2014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527"/>
        <w:gridCol w:w="2323"/>
        <w:gridCol w:w="2788"/>
      </w:tblGrid>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p>
        </w:tc>
        <w:tc>
          <w:tcPr>
            <w:tcW w:w="1353" w:type="pct"/>
            <w:shd w:val="clear" w:color="auto" w:fill="auto"/>
            <w:noWrap/>
            <w:vAlign w:val="bottom"/>
            <w:hideMark/>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I1 - Субиндекс экономического развития</w:t>
            </w:r>
          </w:p>
        </w:tc>
        <w:tc>
          <w:tcPr>
            <w:tcW w:w="1243" w:type="pct"/>
            <w:shd w:val="clear" w:color="auto" w:fill="auto"/>
            <w:noWrap/>
            <w:vAlign w:val="bottom"/>
            <w:hideMark/>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I2 - Субиндекс социального развития</w:t>
            </w:r>
          </w:p>
        </w:tc>
        <w:tc>
          <w:tcPr>
            <w:tcW w:w="1492" w:type="pct"/>
            <w:shd w:val="clear" w:color="auto" w:fill="auto"/>
            <w:noWrap/>
            <w:vAlign w:val="bottom"/>
            <w:hideMark/>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I3 - Субиндекс институционального развития</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Марий Эл</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37,0</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40,0</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5,1</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Татарстан</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72,6</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57,6</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59,5</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Пермский край</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51,7</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64,9</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48,6</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Пензенская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33,2</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56,3</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11,3</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Нижегородская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54,5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39,0</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71,6</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Мордовия</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27,3</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66,4</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9,6</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Ульяновская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32,5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46,6</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18,3</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Башкортостан</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51,5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44,6</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48,0</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Оренбургская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39,5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44,5</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24,5</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Кировская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27,5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63,4</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12,6</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Саратовская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47,8</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62,5</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24,4</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Чувашская Республика</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30,6</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56,6</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17,4</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Самарская область</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62,5</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64,0</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40,9</w:t>
            </w:r>
          </w:p>
        </w:tc>
      </w:tr>
      <w:tr w:rsidR="00175C51" w:rsidRPr="00BA321C" w:rsidTr="00175C51">
        <w:trPr>
          <w:trHeight w:val="300"/>
        </w:trPr>
        <w:tc>
          <w:tcPr>
            <w:tcW w:w="913" w:type="pct"/>
            <w:shd w:val="clear" w:color="auto" w:fill="auto"/>
            <w:noWrap/>
            <w:vAlign w:val="bottom"/>
            <w:hideMark/>
          </w:tcPr>
          <w:p w:rsidR="00175C51" w:rsidRPr="00BA321C" w:rsidRDefault="00175C51"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Удмуртская Республика</w:t>
            </w:r>
          </w:p>
        </w:tc>
        <w:tc>
          <w:tcPr>
            <w:tcW w:w="135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33,6</w:t>
            </w:r>
          </w:p>
        </w:tc>
        <w:tc>
          <w:tcPr>
            <w:tcW w:w="1243"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59,6</w:t>
            </w:r>
          </w:p>
        </w:tc>
        <w:tc>
          <w:tcPr>
            <w:tcW w:w="1492" w:type="pct"/>
            <w:shd w:val="clear" w:color="auto" w:fill="auto"/>
            <w:noWrap/>
            <w:vAlign w:val="bottom"/>
          </w:tcPr>
          <w:p w:rsidR="00175C51" w:rsidRPr="00BA321C" w:rsidRDefault="00175C51"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19,5</w:t>
            </w:r>
          </w:p>
        </w:tc>
      </w:tr>
    </w:tbl>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p>
    <w:p w:rsidR="00175C51" w:rsidRPr="00BA321C" w:rsidRDefault="00175C51" w:rsidP="00BA321C">
      <w:pPr>
        <w:shd w:val="clear" w:color="auto" w:fill="FFFFFF" w:themeFill="background1"/>
        <w:spacing w:after="0" w:line="240" w:lineRule="auto"/>
        <w:jc w:val="both"/>
        <w:rPr>
          <w:rFonts w:ascii="Times New Roman" w:hAnsi="Times New Roman"/>
          <w:sz w:val="28"/>
          <w:szCs w:val="28"/>
          <w:lang w:eastAsia="ru-RU"/>
        </w:rPr>
      </w:pPr>
      <w:r w:rsidRPr="00BA321C">
        <w:rPr>
          <w:rFonts w:ascii="Times New Roman" w:hAnsi="Times New Roman"/>
          <w:sz w:val="28"/>
          <w:szCs w:val="28"/>
          <w:lang w:eastAsia="ru-RU"/>
        </w:rPr>
        <w:lastRenderedPageBreak/>
        <w:t xml:space="preserve">Таблица П2.1 </w:t>
      </w:r>
      <w:r w:rsidR="00CF09C5" w:rsidRPr="00BA321C">
        <w:rPr>
          <w:rFonts w:ascii="Times New Roman" w:hAnsi="Times New Roman"/>
          <w:sz w:val="28"/>
          <w:szCs w:val="28"/>
          <w:lang w:eastAsia="ru-RU"/>
        </w:rPr>
        <w:t>–</w:t>
      </w:r>
      <w:r w:rsidRPr="00BA321C">
        <w:rPr>
          <w:rFonts w:ascii="Times New Roman" w:hAnsi="Times New Roman"/>
          <w:sz w:val="28"/>
          <w:szCs w:val="28"/>
          <w:lang w:eastAsia="ru-RU"/>
        </w:rPr>
        <w:t xml:space="preserve"> </w:t>
      </w:r>
      <w:r w:rsidR="00CF09C5" w:rsidRPr="00BA321C">
        <w:rPr>
          <w:rFonts w:ascii="Times New Roman" w:hAnsi="Times New Roman"/>
          <w:sz w:val="28"/>
          <w:szCs w:val="28"/>
          <w:lang w:eastAsia="ru-RU"/>
        </w:rPr>
        <w:t>Темпы прироста з</w:t>
      </w:r>
      <w:r w:rsidRPr="00BA321C">
        <w:rPr>
          <w:rFonts w:ascii="Times New Roman" w:hAnsi="Times New Roman"/>
          <w:sz w:val="28"/>
          <w:szCs w:val="28"/>
          <w:lang w:eastAsia="ru-RU"/>
        </w:rPr>
        <w:t>начени</w:t>
      </w:r>
      <w:r w:rsidR="00CF09C5" w:rsidRPr="00BA321C">
        <w:rPr>
          <w:rFonts w:ascii="Times New Roman" w:hAnsi="Times New Roman"/>
          <w:sz w:val="28"/>
          <w:szCs w:val="28"/>
          <w:lang w:eastAsia="ru-RU"/>
        </w:rPr>
        <w:t>й</w:t>
      </w:r>
      <w:r w:rsidRPr="00BA321C">
        <w:rPr>
          <w:rFonts w:ascii="Times New Roman" w:hAnsi="Times New Roman"/>
          <w:sz w:val="28"/>
          <w:szCs w:val="28"/>
          <w:lang w:eastAsia="ru-RU"/>
        </w:rPr>
        <w:t xml:space="preserve"> субиндексов интегрального индекса СЭП социально-экономической привлекательности регионов Приволжского федерального округа, 2014</w:t>
      </w:r>
      <w:r w:rsidR="00CF09C5" w:rsidRPr="00BA321C">
        <w:rPr>
          <w:rFonts w:ascii="Times New Roman" w:hAnsi="Times New Roman"/>
          <w:sz w:val="28"/>
          <w:szCs w:val="28"/>
          <w:lang w:eastAsia="ru-RU"/>
        </w:rPr>
        <w:t>г. к 2005</w:t>
      </w:r>
      <w:r w:rsidRPr="00BA321C">
        <w:rPr>
          <w:rFonts w:ascii="Times New Roman" w:hAnsi="Times New Roman"/>
          <w:sz w:val="28"/>
          <w:szCs w:val="28"/>
          <w:lang w:eastAsia="ru-RU"/>
        </w:rPr>
        <w:t>г</w:t>
      </w:r>
      <w:r w:rsidR="00CF09C5" w:rsidRPr="00BA321C">
        <w:rPr>
          <w:rFonts w:ascii="Times New Roman" w:hAnsi="Times New Roman"/>
          <w:sz w:val="28"/>
          <w:szCs w:val="28"/>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527"/>
        <w:gridCol w:w="2323"/>
        <w:gridCol w:w="2788"/>
      </w:tblGrid>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I1 - Субиндекс экономического развития</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I2 - Субиндекс социального развития</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I3 - Субиндекс институционального развития</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Марий Эл</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75,5</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-9,6</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38,7</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Татарстан</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62,1</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9,2</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37,3</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Пермский край</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62,1</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91,4</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-6,9</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Пензенская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59,8</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-0,9</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-1,8</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Нижегородская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56,1</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-16,6</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60,2</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Мордовия</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51,2</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7,6</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40,6</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Ульяновская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45,9</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-0,1</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70,1</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Республика Башкортостан</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45,0</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-9,1</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-1,3</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Оренбургская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44,2</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-3,8</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25,8</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Кировская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40,2</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50,3</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2,9</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Саратовская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33,0</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11,7</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-9,4</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Чувашская Республика</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32,4</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9,6</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-3,0</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Самарская область</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32,3</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53,6</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-0,7</w:t>
            </w:r>
          </w:p>
        </w:tc>
      </w:tr>
      <w:tr w:rsidR="00F326CE" w:rsidRPr="00BA321C" w:rsidTr="003C1BC1">
        <w:trPr>
          <w:trHeight w:val="300"/>
        </w:trPr>
        <w:tc>
          <w:tcPr>
            <w:tcW w:w="913" w:type="pct"/>
            <w:shd w:val="clear" w:color="auto" w:fill="auto"/>
            <w:noWrap/>
            <w:vAlign w:val="bottom"/>
            <w:hideMark/>
          </w:tcPr>
          <w:p w:rsidR="00F326CE" w:rsidRPr="00BA321C" w:rsidRDefault="00F326CE" w:rsidP="00BA321C">
            <w:pPr>
              <w:shd w:val="clear" w:color="auto" w:fill="FFFFFF" w:themeFill="background1"/>
              <w:spacing w:after="0" w:line="240" w:lineRule="auto"/>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Удмуртская Республика</w:t>
            </w:r>
          </w:p>
        </w:tc>
        <w:tc>
          <w:tcPr>
            <w:tcW w:w="135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31,8</w:t>
            </w:r>
          </w:p>
        </w:tc>
        <w:tc>
          <w:tcPr>
            <w:tcW w:w="1243"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-0,2</w:t>
            </w:r>
          </w:p>
        </w:tc>
        <w:tc>
          <w:tcPr>
            <w:tcW w:w="1492" w:type="pct"/>
            <w:shd w:val="clear" w:color="auto" w:fill="auto"/>
            <w:noWrap/>
            <w:vAlign w:val="bottom"/>
            <w:hideMark/>
          </w:tcPr>
          <w:p w:rsidR="00F326CE" w:rsidRPr="00BA321C" w:rsidRDefault="00F326CE" w:rsidP="00BA321C">
            <w:pPr>
              <w:shd w:val="clear" w:color="auto" w:fill="FFFFFF" w:themeFill="background1"/>
              <w:spacing w:after="0" w:line="240" w:lineRule="auto"/>
              <w:jc w:val="center"/>
              <w:rPr>
                <w:rFonts w:ascii="Times New Roman" w:eastAsia="Times New Roman" w:hAnsi="Times New Roman"/>
                <w:sz w:val="24"/>
                <w:szCs w:val="24"/>
                <w:lang w:eastAsia="ru-RU"/>
              </w:rPr>
            </w:pPr>
            <w:r w:rsidRPr="00BA321C">
              <w:rPr>
                <w:rFonts w:ascii="Times New Roman" w:eastAsia="Times New Roman" w:hAnsi="Times New Roman"/>
                <w:sz w:val="24"/>
                <w:szCs w:val="24"/>
                <w:lang w:eastAsia="ru-RU"/>
              </w:rPr>
              <w:t>16,0</w:t>
            </w:r>
          </w:p>
        </w:tc>
      </w:tr>
    </w:tbl>
    <w:p w:rsidR="00F326CE" w:rsidRPr="00BA321C" w:rsidRDefault="00F326CE" w:rsidP="00BA321C">
      <w:pPr>
        <w:shd w:val="clear" w:color="auto" w:fill="FFFFFF" w:themeFill="background1"/>
        <w:spacing w:after="0" w:line="360" w:lineRule="auto"/>
        <w:jc w:val="both"/>
        <w:rPr>
          <w:rFonts w:ascii="Times New Roman" w:hAnsi="Times New Roman"/>
          <w:sz w:val="28"/>
          <w:szCs w:val="28"/>
        </w:rPr>
      </w:pPr>
    </w:p>
    <w:p w:rsidR="00F326CE" w:rsidRPr="00BA321C" w:rsidRDefault="00F326CE" w:rsidP="00BA321C">
      <w:pPr>
        <w:shd w:val="clear" w:color="auto" w:fill="FFFFFF" w:themeFill="background1"/>
        <w:spacing w:after="0" w:line="360" w:lineRule="auto"/>
        <w:jc w:val="both"/>
        <w:rPr>
          <w:rFonts w:ascii="Times New Roman" w:hAnsi="Times New Roman"/>
          <w:sz w:val="28"/>
          <w:szCs w:val="28"/>
        </w:rPr>
      </w:pPr>
    </w:p>
    <w:p w:rsidR="00F326CE" w:rsidRPr="00BA321C" w:rsidRDefault="00F326C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B5787E" w:rsidRPr="00BA321C" w:rsidRDefault="00B5787E" w:rsidP="00BA321C">
      <w:pPr>
        <w:shd w:val="clear" w:color="auto" w:fill="FFFFFF" w:themeFill="background1"/>
        <w:spacing w:after="0" w:line="360" w:lineRule="auto"/>
        <w:jc w:val="both"/>
        <w:rPr>
          <w:rFonts w:ascii="Times New Roman" w:hAnsi="Times New Roman"/>
          <w:sz w:val="28"/>
          <w:szCs w:val="28"/>
        </w:rPr>
      </w:pPr>
    </w:p>
    <w:p w:rsidR="005B7ABB" w:rsidRPr="00BA321C" w:rsidRDefault="005B7ABB" w:rsidP="00BA321C">
      <w:pPr>
        <w:shd w:val="clear" w:color="auto" w:fill="FFFFFF" w:themeFill="background1"/>
        <w:spacing w:after="0" w:line="360" w:lineRule="auto"/>
        <w:jc w:val="both"/>
        <w:rPr>
          <w:rFonts w:ascii="Times New Roman" w:hAnsi="Times New Roman"/>
          <w:sz w:val="28"/>
          <w:szCs w:val="28"/>
        </w:rPr>
        <w:sectPr w:rsidR="005B7ABB" w:rsidRPr="00BA321C">
          <w:pgSz w:w="11906" w:h="16838"/>
          <w:pgMar w:top="1134" w:right="850" w:bottom="1134" w:left="1701" w:header="708" w:footer="708" w:gutter="0"/>
          <w:cols w:space="708"/>
          <w:docGrid w:linePitch="360"/>
        </w:sectPr>
      </w:pPr>
    </w:p>
    <w:p w:rsidR="001334DD" w:rsidRPr="00BA321C" w:rsidRDefault="008B1231" w:rsidP="00C35E98">
      <w:pPr>
        <w:pStyle w:val="3"/>
        <w:jc w:val="right"/>
      </w:pPr>
      <w:bookmarkStart w:id="19" w:name="_Toc451869601"/>
      <w:r w:rsidRPr="00BA321C">
        <w:lastRenderedPageBreak/>
        <w:t>Приложение 3</w:t>
      </w:r>
      <w:bookmarkEnd w:id="19"/>
    </w:p>
    <w:p w:rsidR="009F5B51" w:rsidRPr="00BA321C" w:rsidRDefault="009F5B51" w:rsidP="00BA321C">
      <w:pPr>
        <w:shd w:val="clear" w:color="auto" w:fill="FFFFFF" w:themeFill="background1"/>
        <w:spacing w:after="0" w:line="360" w:lineRule="auto"/>
        <w:jc w:val="both"/>
        <w:rPr>
          <w:rFonts w:ascii="Times New Roman" w:hAnsi="Times New Roman"/>
          <w:sz w:val="28"/>
          <w:szCs w:val="28"/>
        </w:rPr>
      </w:pPr>
    </w:p>
    <w:p w:rsidR="008B1231" w:rsidRPr="00BA321C" w:rsidRDefault="008B1231"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Значения весовых коэффициентов, оценивающих «вклад» демографического потенциала региона в развитие динамики </w:t>
      </w:r>
      <w:r w:rsidR="005B7ABB" w:rsidRPr="00BA321C">
        <w:rPr>
          <w:rFonts w:ascii="Times New Roman" w:hAnsi="Times New Roman"/>
          <w:sz w:val="28"/>
          <w:szCs w:val="28"/>
        </w:rPr>
        <w:t xml:space="preserve">ресурсно-инфраструктурного индекса </w:t>
      </w:r>
      <w:r w:rsidR="005B7ABB" w:rsidRPr="00BA321C">
        <w:rPr>
          <w:rFonts w:ascii="Times New Roman" w:hAnsi="Times New Roman"/>
          <w:sz w:val="28"/>
          <w:szCs w:val="28"/>
          <w:lang w:val="en-US"/>
        </w:rPr>
        <w:t>I</w:t>
      </w:r>
      <w:r w:rsidR="005B7ABB" w:rsidRPr="00BA321C">
        <w:rPr>
          <w:rFonts w:ascii="Times New Roman" w:hAnsi="Times New Roman"/>
          <w:sz w:val="28"/>
          <w:szCs w:val="28"/>
        </w:rPr>
        <w:t>э (в разрезе регионов Приволжского федерального округа)</w:t>
      </w: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
        <w:gridCol w:w="1521"/>
        <w:gridCol w:w="1594"/>
        <w:gridCol w:w="1898"/>
        <w:gridCol w:w="1621"/>
        <w:gridCol w:w="1018"/>
        <w:gridCol w:w="1597"/>
        <w:gridCol w:w="1621"/>
        <w:gridCol w:w="1251"/>
        <w:gridCol w:w="1017"/>
        <w:gridCol w:w="1070"/>
      </w:tblGrid>
      <w:tr w:rsidR="00E62C2E" w:rsidRPr="00BA321C" w:rsidTr="00587228">
        <w:trPr>
          <w:trHeight w:val="20"/>
        </w:trPr>
        <w:tc>
          <w:tcPr>
            <w:tcW w:w="140" w:type="pct"/>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w:t>
            </w:r>
          </w:p>
        </w:tc>
        <w:tc>
          <w:tcPr>
            <w:tcW w:w="520" w:type="pct"/>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Регион</w:t>
            </w:r>
          </w:p>
        </w:tc>
        <w:tc>
          <w:tcPr>
            <w:tcW w:w="545" w:type="pct"/>
            <w:shd w:val="clear" w:color="auto" w:fill="auto"/>
            <w:vAlign w:val="center"/>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Промышленный потенциал</w:t>
            </w:r>
          </w:p>
        </w:tc>
        <w:tc>
          <w:tcPr>
            <w:tcW w:w="649" w:type="pct"/>
            <w:shd w:val="clear" w:color="auto" w:fill="auto"/>
            <w:vAlign w:val="center"/>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Развитие информационно-коммуникационных технологий</w:t>
            </w:r>
          </w:p>
        </w:tc>
        <w:tc>
          <w:tcPr>
            <w:tcW w:w="554" w:type="pct"/>
            <w:shd w:val="clear" w:color="auto" w:fill="auto"/>
            <w:vAlign w:val="center"/>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Развитие транспортной инфраструктуры</w:t>
            </w:r>
          </w:p>
        </w:tc>
        <w:tc>
          <w:tcPr>
            <w:tcW w:w="348" w:type="pct"/>
            <w:shd w:val="clear" w:color="auto" w:fill="auto"/>
            <w:vAlign w:val="center"/>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Сельскохозяйственный потенциал</w:t>
            </w:r>
          </w:p>
        </w:tc>
        <w:tc>
          <w:tcPr>
            <w:tcW w:w="546" w:type="pct"/>
            <w:shd w:val="clear" w:color="auto" w:fill="auto"/>
            <w:vAlign w:val="center"/>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Степень развития энергетического комплекса</w:t>
            </w:r>
          </w:p>
        </w:tc>
        <w:tc>
          <w:tcPr>
            <w:tcW w:w="554" w:type="pct"/>
            <w:shd w:val="clear" w:color="auto" w:fill="auto"/>
            <w:vAlign w:val="bottom"/>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Уровень развития рыночной инфраструктуры</w:t>
            </w:r>
          </w:p>
        </w:tc>
        <w:tc>
          <w:tcPr>
            <w:tcW w:w="428" w:type="pct"/>
            <w:shd w:val="clear" w:color="auto" w:fill="auto"/>
            <w:vAlign w:val="bottom"/>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Инвестиционная привлекательность региона</w:t>
            </w:r>
          </w:p>
        </w:tc>
        <w:tc>
          <w:tcPr>
            <w:tcW w:w="348" w:type="pct"/>
            <w:shd w:val="clear" w:color="auto" w:fill="auto"/>
            <w:vAlign w:val="bottom"/>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Степень развития трудовых ресурсов</w:t>
            </w:r>
          </w:p>
        </w:tc>
        <w:tc>
          <w:tcPr>
            <w:tcW w:w="366" w:type="pct"/>
            <w:shd w:val="clear" w:color="auto" w:fill="auto"/>
            <w:vAlign w:val="bottom"/>
            <w:hideMark/>
          </w:tcPr>
          <w:p w:rsidR="005B7ABB" w:rsidRPr="00BA321C" w:rsidRDefault="005B7ABB"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Демографический потенциал региона</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Башкортостан</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w:t>
            </w:r>
            <w:r w:rsidR="001F7D76" w:rsidRPr="00BA321C">
              <w:rPr>
                <w:rFonts w:ascii="Times New Roman" w:hAnsi="Times New Roman"/>
              </w:rPr>
              <w:t>1</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1F7D76" w:rsidRPr="00BA321C">
              <w:rPr>
                <w:rFonts w:ascii="Times New Roman" w:hAnsi="Times New Roman"/>
              </w:rPr>
              <w:t>2</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2</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Марий Эл</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0,12</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0,06</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3</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Мордовия</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0,13</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1F7D76" w:rsidRPr="00BA321C">
              <w:rPr>
                <w:rFonts w:ascii="Times New Roman" w:hAnsi="Times New Roman"/>
              </w:rPr>
              <w:t>2</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1F7D76" w:rsidRPr="00BA321C">
              <w:rPr>
                <w:rFonts w:ascii="Times New Roman" w:hAnsi="Times New Roman"/>
              </w:rPr>
              <w:t>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4</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Республика Татарстан</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w:t>
            </w:r>
            <w:r w:rsidR="001F7D76" w:rsidRPr="00BA321C">
              <w:rPr>
                <w:rFonts w:ascii="Times New Roman" w:hAnsi="Times New Roman"/>
              </w:rPr>
              <w:t>2</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1F7D76" w:rsidRPr="00BA321C">
              <w:rPr>
                <w:rFonts w:ascii="Times New Roman" w:hAnsi="Times New Roman"/>
              </w:rPr>
              <w:t>1</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1F7D76"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1F7D76" w:rsidRPr="00BA321C">
              <w:rPr>
                <w:rFonts w:ascii="Times New Roman" w:hAnsi="Times New Roman"/>
              </w:rPr>
              <w:t>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5</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Удмуртская Республика</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0,13</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0,09</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6</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Чувашская Республика</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0,12</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0,06</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5</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7</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Пермский край</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0,14</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0,14</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0,09</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0,01</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8</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Кировская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0,13</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4</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w:t>
            </w:r>
            <w:r w:rsidR="00F478AC" w:rsidRPr="00BA321C">
              <w:rPr>
                <w:rFonts w:ascii="Times New Roman" w:hAnsi="Times New Roman"/>
              </w:rPr>
              <w:t>4</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0,06</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5</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9</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Нижегородская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w:t>
            </w:r>
            <w:r w:rsidR="00F478AC" w:rsidRPr="00BA321C">
              <w:rPr>
                <w:rFonts w:ascii="Times New Roman" w:hAnsi="Times New Roman"/>
              </w:rPr>
              <w:t>3</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0,0038</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10</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Оренбургская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0,14</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0,15</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0,07</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0,07</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0,16</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11</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Пензенская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0,09</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0,15</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0,06</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12</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Самарская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0,11</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4</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0,15</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0,07</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0,05</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0,12</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0,09</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5</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lastRenderedPageBreak/>
              <w:t>13</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Саратовская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0,13</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0,08</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w:t>
            </w:r>
            <w:r w:rsidR="00F478AC" w:rsidRPr="00BA321C">
              <w:rPr>
                <w:rFonts w:ascii="Times New Roman" w:hAnsi="Times New Roman"/>
              </w:rPr>
              <w:t>4</w:t>
            </w:r>
          </w:p>
        </w:tc>
      </w:tr>
      <w:tr w:rsidR="00E62C2E" w:rsidRPr="00BA321C" w:rsidTr="00587228">
        <w:trPr>
          <w:trHeight w:val="20"/>
        </w:trPr>
        <w:tc>
          <w:tcPr>
            <w:tcW w:w="140" w:type="pct"/>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14</w:t>
            </w:r>
          </w:p>
        </w:tc>
        <w:tc>
          <w:tcPr>
            <w:tcW w:w="520" w:type="pct"/>
            <w:vAlign w:val="bottom"/>
          </w:tcPr>
          <w:p w:rsidR="00E62C2E" w:rsidRPr="00BA321C" w:rsidRDefault="00E62C2E" w:rsidP="00BA321C">
            <w:pPr>
              <w:shd w:val="clear" w:color="auto" w:fill="FFFFFF" w:themeFill="background1"/>
              <w:spacing w:after="0" w:line="240" w:lineRule="auto"/>
              <w:rPr>
                <w:rFonts w:ascii="Times New Roman" w:eastAsia="Times New Roman" w:hAnsi="Times New Roman"/>
                <w:sz w:val="20"/>
                <w:szCs w:val="20"/>
                <w:lang w:eastAsia="ru-RU"/>
              </w:rPr>
            </w:pPr>
            <w:r w:rsidRPr="00BA321C">
              <w:rPr>
                <w:rFonts w:ascii="Times New Roman" w:eastAsia="Times New Roman" w:hAnsi="Times New Roman"/>
                <w:sz w:val="20"/>
                <w:szCs w:val="20"/>
                <w:lang w:eastAsia="ru-RU"/>
              </w:rPr>
              <w:t>Ульяновская область</w:t>
            </w:r>
          </w:p>
        </w:tc>
        <w:tc>
          <w:tcPr>
            <w:tcW w:w="545" w:type="pct"/>
            <w:shd w:val="clear" w:color="auto" w:fill="auto"/>
            <w:vAlign w:val="center"/>
          </w:tcPr>
          <w:p w:rsidR="00E62C2E" w:rsidRPr="00BA321C" w:rsidRDefault="00E62C2E" w:rsidP="00BA321C">
            <w:pPr>
              <w:shd w:val="clear" w:color="auto" w:fill="FFFFFF" w:themeFill="background1"/>
              <w:spacing w:after="0" w:line="240" w:lineRule="auto"/>
              <w:jc w:val="center"/>
              <w:rPr>
                <w:rFonts w:ascii="Times New Roman" w:hAnsi="Times New Roman"/>
                <w:lang w:eastAsia="ru-RU"/>
              </w:rPr>
            </w:pPr>
            <w:r w:rsidRPr="00BA321C">
              <w:rPr>
                <w:rFonts w:ascii="Times New Roman" w:hAnsi="Times New Roman"/>
              </w:rPr>
              <w:t>0,10</w:t>
            </w:r>
          </w:p>
        </w:tc>
        <w:tc>
          <w:tcPr>
            <w:tcW w:w="649"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0,09</w:t>
            </w:r>
          </w:p>
        </w:tc>
        <w:tc>
          <w:tcPr>
            <w:tcW w:w="54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0,11</w:t>
            </w:r>
          </w:p>
        </w:tc>
        <w:tc>
          <w:tcPr>
            <w:tcW w:w="554"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42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c>
          <w:tcPr>
            <w:tcW w:w="348"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0,10</w:t>
            </w:r>
          </w:p>
        </w:tc>
        <w:tc>
          <w:tcPr>
            <w:tcW w:w="366" w:type="pct"/>
            <w:shd w:val="clear" w:color="auto" w:fill="auto"/>
            <w:vAlign w:val="center"/>
          </w:tcPr>
          <w:p w:rsidR="00E62C2E" w:rsidRPr="00BA321C" w:rsidRDefault="00E62C2E" w:rsidP="00BA321C">
            <w:pPr>
              <w:shd w:val="clear" w:color="auto" w:fill="FFFFFF" w:themeFill="background1"/>
              <w:jc w:val="center"/>
              <w:rPr>
                <w:rFonts w:ascii="Times New Roman" w:hAnsi="Times New Roman"/>
              </w:rPr>
            </w:pPr>
            <w:r w:rsidRPr="00BA321C">
              <w:rPr>
                <w:rFonts w:ascii="Times New Roman" w:hAnsi="Times New Roman"/>
              </w:rPr>
              <w:t>0,13</w:t>
            </w:r>
          </w:p>
        </w:tc>
      </w:tr>
    </w:tbl>
    <w:p w:rsidR="005B7ABB" w:rsidRPr="00BA321C" w:rsidRDefault="005B7ABB" w:rsidP="00BA321C">
      <w:pPr>
        <w:shd w:val="clear" w:color="auto" w:fill="FFFFFF" w:themeFill="background1"/>
        <w:spacing w:after="0" w:line="360" w:lineRule="auto"/>
        <w:jc w:val="both"/>
        <w:rPr>
          <w:rFonts w:ascii="Times New Roman" w:hAnsi="Times New Roman"/>
          <w:sz w:val="28"/>
          <w:szCs w:val="28"/>
        </w:rPr>
      </w:pPr>
    </w:p>
    <w:p w:rsidR="005B7ABB" w:rsidRPr="00BA321C" w:rsidRDefault="005B7ABB" w:rsidP="00BA321C">
      <w:pPr>
        <w:shd w:val="clear" w:color="auto" w:fill="FFFFFF" w:themeFill="background1"/>
        <w:spacing w:after="0" w:line="360" w:lineRule="auto"/>
        <w:jc w:val="both"/>
        <w:rPr>
          <w:rFonts w:ascii="Times New Roman" w:hAnsi="Times New Roman"/>
          <w:sz w:val="28"/>
          <w:szCs w:val="28"/>
        </w:rPr>
      </w:pPr>
    </w:p>
    <w:p w:rsidR="008B1231" w:rsidRPr="00BA321C" w:rsidRDefault="008B1231" w:rsidP="00BA321C">
      <w:pPr>
        <w:shd w:val="clear" w:color="auto" w:fill="FFFFFF" w:themeFill="background1"/>
        <w:spacing w:after="0" w:line="360" w:lineRule="auto"/>
        <w:jc w:val="both"/>
        <w:rPr>
          <w:rFonts w:ascii="Times New Roman" w:hAnsi="Times New Roman"/>
          <w:sz w:val="28"/>
          <w:szCs w:val="28"/>
        </w:rPr>
      </w:pPr>
    </w:p>
    <w:p w:rsidR="005B7ABB" w:rsidRPr="00BA321C" w:rsidRDefault="005B7ABB" w:rsidP="00BA321C">
      <w:pPr>
        <w:shd w:val="clear" w:color="auto" w:fill="FFFFFF" w:themeFill="background1"/>
        <w:spacing w:after="0" w:line="360" w:lineRule="auto"/>
        <w:jc w:val="both"/>
        <w:rPr>
          <w:rFonts w:ascii="Times New Roman" w:hAnsi="Times New Roman"/>
          <w:sz w:val="28"/>
          <w:szCs w:val="28"/>
        </w:rPr>
        <w:sectPr w:rsidR="005B7ABB" w:rsidRPr="00BA321C" w:rsidSect="005B7ABB">
          <w:pgSz w:w="16838" w:h="11906" w:orient="landscape"/>
          <w:pgMar w:top="1701" w:right="1134" w:bottom="850" w:left="1134" w:header="708" w:footer="708" w:gutter="0"/>
          <w:cols w:space="708"/>
          <w:docGrid w:linePitch="360"/>
        </w:sectPr>
      </w:pPr>
    </w:p>
    <w:p w:rsidR="001334DD" w:rsidRPr="00BA321C" w:rsidRDefault="006C3319" w:rsidP="00C35E98">
      <w:pPr>
        <w:pStyle w:val="3"/>
        <w:jc w:val="right"/>
      </w:pPr>
      <w:bookmarkStart w:id="20" w:name="_Toc451869602"/>
      <w:r w:rsidRPr="00BA321C">
        <w:lastRenderedPageBreak/>
        <w:t>Приложение 4</w:t>
      </w:r>
      <w:bookmarkEnd w:id="20"/>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C6F3D" w:rsidRPr="00BA321C" w:rsidRDefault="00675A9F"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1. </w:t>
      </w:r>
      <w:r w:rsidR="006C6F3D" w:rsidRPr="00BA321C">
        <w:rPr>
          <w:rFonts w:ascii="Times New Roman" w:hAnsi="Times New Roman"/>
          <w:sz w:val="28"/>
          <w:szCs w:val="28"/>
        </w:rPr>
        <w:t xml:space="preserve">Результаты регрессионного анализа влияния индекса СЭП на динамику ВРП Республики Мордовия за период с 2005 по 2014гг. (последовательность расчетов). </w:t>
      </w:r>
    </w:p>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p>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3130C6" w:rsidRPr="00BA321C">
        <w:rPr>
          <w:rFonts w:ascii="Times New Roman" w:hAnsi="Times New Roman"/>
          <w:sz w:val="28"/>
          <w:szCs w:val="28"/>
        </w:rPr>
        <w:t>П4.</w:t>
      </w:r>
      <w:r w:rsidRPr="00BA321C">
        <w:rPr>
          <w:rFonts w:ascii="Times New Roman" w:hAnsi="Times New Roman"/>
          <w:sz w:val="28"/>
          <w:szCs w:val="28"/>
        </w:rPr>
        <w:t>1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5"/>
        <w:gridCol w:w="3260"/>
      </w:tblGrid>
      <w:tr w:rsidR="006C6F3D" w:rsidRPr="00BA321C" w:rsidTr="00675A9F">
        <w:trPr>
          <w:trHeight w:val="300"/>
        </w:trPr>
        <w:tc>
          <w:tcPr>
            <w:tcW w:w="3256" w:type="pct"/>
            <w:shd w:val="clear" w:color="auto" w:fill="auto"/>
            <w:noWrap/>
            <w:vAlign w:val="bottom"/>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Показатель</w:t>
            </w:r>
          </w:p>
        </w:tc>
        <w:tc>
          <w:tcPr>
            <w:tcW w:w="1744" w:type="pct"/>
            <w:shd w:val="clear" w:color="auto" w:fill="auto"/>
            <w:noWrap/>
            <w:vAlign w:val="bottom"/>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Значение</w:t>
            </w:r>
          </w:p>
        </w:tc>
      </w:tr>
      <w:tr w:rsidR="006C6F3D" w:rsidRPr="00BA321C" w:rsidTr="00675A9F">
        <w:trPr>
          <w:trHeight w:val="300"/>
        </w:trPr>
        <w:tc>
          <w:tcPr>
            <w:tcW w:w="3256"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Множественный R</w:t>
            </w:r>
          </w:p>
        </w:tc>
        <w:tc>
          <w:tcPr>
            <w:tcW w:w="1744"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0,268452102</w:t>
            </w:r>
          </w:p>
        </w:tc>
      </w:tr>
      <w:tr w:rsidR="006C6F3D" w:rsidRPr="00BA321C" w:rsidTr="00675A9F">
        <w:trPr>
          <w:trHeight w:val="300"/>
        </w:trPr>
        <w:tc>
          <w:tcPr>
            <w:tcW w:w="3256"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R-квадрат</w:t>
            </w:r>
          </w:p>
        </w:tc>
        <w:tc>
          <w:tcPr>
            <w:tcW w:w="1744"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0,315021581</w:t>
            </w:r>
          </w:p>
        </w:tc>
      </w:tr>
      <w:tr w:rsidR="006C6F3D" w:rsidRPr="00BA321C" w:rsidTr="00675A9F">
        <w:trPr>
          <w:trHeight w:val="300"/>
        </w:trPr>
        <w:tc>
          <w:tcPr>
            <w:tcW w:w="3256"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Нормированный R-квадрат</w:t>
            </w:r>
          </w:p>
        </w:tc>
        <w:tc>
          <w:tcPr>
            <w:tcW w:w="1744"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0,392015455</w:t>
            </w:r>
          </w:p>
        </w:tc>
      </w:tr>
      <w:tr w:rsidR="006C6F3D" w:rsidRPr="00BA321C" w:rsidTr="00675A9F">
        <w:trPr>
          <w:trHeight w:val="300"/>
        </w:trPr>
        <w:tc>
          <w:tcPr>
            <w:tcW w:w="3256"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Стандартная ошибка</w:t>
            </w:r>
          </w:p>
        </w:tc>
        <w:tc>
          <w:tcPr>
            <w:tcW w:w="1744"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0,963214450</w:t>
            </w:r>
          </w:p>
        </w:tc>
      </w:tr>
      <w:tr w:rsidR="006C6F3D" w:rsidRPr="00BA321C" w:rsidTr="00675A9F">
        <w:trPr>
          <w:trHeight w:val="315"/>
        </w:trPr>
        <w:tc>
          <w:tcPr>
            <w:tcW w:w="3256"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Наблюдения</w:t>
            </w:r>
          </w:p>
        </w:tc>
        <w:tc>
          <w:tcPr>
            <w:tcW w:w="1744"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10</w:t>
            </w:r>
          </w:p>
        </w:tc>
      </w:tr>
    </w:tbl>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p>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3130C6" w:rsidRPr="00BA321C">
        <w:rPr>
          <w:rFonts w:ascii="Times New Roman" w:hAnsi="Times New Roman"/>
          <w:sz w:val="28"/>
          <w:szCs w:val="28"/>
        </w:rPr>
        <w:t>П4.</w:t>
      </w:r>
      <w:r w:rsidRPr="00BA321C">
        <w:rPr>
          <w:rFonts w:ascii="Times New Roman" w:hAnsi="Times New Roman"/>
          <w:sz w:val="28"/>
          <w:szCs w:val="28"/>
        </w:rPr>
        <w:t>2 – Значения коэффициентов и их статистическая значимость</w:t>
      </w:r>
    </w:p>
    <w:tbl>
      <w:tblPr>
        <w:tblW w:w="42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922"/>
        <w:gridCol w:w="2523"/>
        <w:gridCol w:w="1577"/>
        <w:gridCol w:w="1468"/>
      </w:tblGrid>
      <w:tr w:rsidR="003130C6" w:rsidRPr="00BA321C" w:rsidTr="00675A9F">
        <w:trPr>
          <w:trHeight w:val="300"/>
        </w:trPr>
        <w:tc>
          <w:tcPr>
            <w:tcW w:w="948" w:type="pct"/>
            <w:shd w:val="clear" w:color="auto" w:fill="auto"/>
            <w:noWrap/>
            <w:vAlign w:val="bottom"/>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
                <w:iCs/>
                <w:sz w:val="28"/>
                <w:szCs w:val="28"/>
                <w:lang w:eastAsia="ru-RU"/>
              </w:rPr>
              <w:t> </w:t>
            </w:r>
          </w:p>
        </w:tc>
        <w:tc>
          <w:tcPr>
            <w:tcW w:w="1017" w:type="pct"/>
            <w:shd w:val="clear" w:color="auto" w:fill="auto"/>
            <w:noWrap/>
            <w:vAlign w:val="bottom"/>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Коэффициенты</w:t>
            </w:r>
          </w:p>
        </w:tc>
        <w:tc>
          <w:tcPr>
            <w:tcW w:w="1361" w:type="pct"/>
            <w:shd w:val="clear" w:color="auto" w:fill="auto"/>
            <w:noWrap/>
            <w:vAlign w:val="bottom"/>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Стандартная ошибка</w:t>
            </w:r>
          </w:p>
        </w:tc>
        <w:tc>
          <w:tcPr>
            <w:tcW w:w="922" w:type="pct"/>
            <w:shd w:val="clear" w:color="auto" w:fill="auto"/>
            <w:noWrap/>
            <w:vAlign w:val="bottom"/>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t-статистика</w:t>
            </w:r>
          </w:p>
        </w:tc>
        <w:tc>
          <w:tcPr>
            <w:tcW w:w="752" w:type="pct"/>
            <w:shd w:val="clear" w:color="auto" w:fill="auto"/>
            <w:noWrap/>
            <w:vAlign w:val="bottom"/>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P-Значение</w:t>
            </w:r>
          </w:p>
        </w:tc>
      </w:tr>
      <w:tr w:rsidR="003130C6" w:rsidRPr="00BA321C" w:rsidTr="00675A9F">
        <w:trPr>
          <w:trHeight w:val="300"/>
        </w:trPr>
        <w:tc>
          <w:tcPr>
            <w:tcW w:w="948" w:type="pct"/>
            <w:shd w:val="clear" w:color="auto" w:fill="auto"/>
            <w:noWrap/>
            <w:vAlign w:val="bottom"/>
            <w:hideMark/>
          </w:tcPr>
          <w:p w:rsidR="003130C6" w:rsidRPr="00BA321C" w:rsidRDefault="003130C6"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Y-пересечение</w:t>
            </w:r>
          </w:p>
        </w:tc>
        <w:tc>
          <w:tcPr>
            <w:tcW w:w="1017"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81,215</w:t>
            </w:r>
          </w:p>
        </w:tc>
        <w:tc>
          <w:tcPr>
            <w:tcW w:w="1361"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2,254</w:t>
            </w:r>
          </w:p>
        </w:tc>
        <w:tc>
          <w:tcPr>
            <w:tcW w:w="922"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1,025</w:t>
            </w:r>
          </w:p>
        </w:tc>
        <w:tc>
          <w:tcPr>
            <w:tcW w:w="752"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0,218</w:t>
            </w:r>
          </w:p>
        </w:tc>
      </w:tr>
      <w:tr w:rsidR="003130C6" w:rsidRPr="00BA321C" w:rsidTr="00675A9F">
        <w:trPr>
          <w:trHeight w:val="315"/>
        </w:trPr>
        <w:tc>
          <w:tcPr>
            <w:tcW w:w="948" w:type="pct"/>
            <w:shd w:val="clear" w:color="auto" w:fill="auto"/>
            <w:noWrap/>
            <w:vAlign w:val="bottom"/>
            <w:hideMark/>
          </w:tcPr>
          <w:p w:rsidR="003130C6" w:rsidRPr="00BA321C" w:rsidRDefault="003130C6"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I</w:t>
            </w:r>
          </w:p>
        </w:tc>
        <w:tc>
          <w:tcPr>
            <w:tcW w:w="1017"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0,103</w:t>
            </w:r>
          </w:p>
        </w:tc>
        <w:tc>
          <w:tcPr>
            <w:tcW w:w="1361"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0,364</w:t>
            </w:r>
          </w:p>
        </w:tc>
        <w:tc>
          <w:tcPr>
            <w:tcW w:w="922"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6,021</w:t>
            </w:r>
          </w:p>
        </w:tc>
        <w:tc>
          <w:tcPr>
            <w:tcW w:w="752" w:type="pct"/>
            <w:shd w:val="clear" w:color="auto" w:fill="auto"/>
            <w:noWrap/>
            <w:vAlign w:val="center"/>
            <w:hideMark/>
          </w:tcPr>
          <w:p w:rsidR="003130C6" w:rsidRPr="00BA321C" w:rsidRDefault="003130C6"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0,121</w:t>
            </w:r>
          </w:p>
        </w:tc>
      </w:tr>
    </w:tbl>
    <w:p w:rsidR="003130C6" w:rsidRPr="00BA321C" w:rsidRDefault="003130C6" w:rsidP="00BA321C">
      <w:pPr>
        <w:shd w:val="clear" w:color="auto" w:fill="FFFFFF" w:themeFill="background1"/>
        <w:spacing w:after="0" w:line="360" w:lineRule="auto"/>
        <w:jc w:val="both"/>
        <w:rPr>
          <w:rFonts w:ascii="Times New Roman" w:hAnsi="Times New Roman"/>
          <w:sz w:val="28"/>
          <w:szCs w:val="28"/>
        </w:rPr>
      </w:pPr>
    </w:p>
    <w:p w:rsidR="006C6F3D" w:rsidRPr="00BA321C" w:rsidRDefault="006C6F3D"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Представленные результаты расчетов демонстрируют несостоятельность построенной модели (R2 = 0.</w:t>
      </w:r>
      <w:r w:rsidR="003130C6" w:rsidRPr="00BA321C">
        <w:rPr>
          <w:rFonts w:ascii="Times New Roman" w:hAnsi="Times New Roman"/>
          <w:sz w:val="28"/>
          <w:szCs w:val="28"/>
        </w:rPr>
        <w:t>32</w:t>
      </w:r>
      <w:r w:rsidRPr="00BA321C">
        <w:rPr>
          <w:rFonts w:ascii="Times New Roman" w:hAnsi="Times New Roman"/>
          <w:sz w:val="28"/>
          <w:szCs w:val="28"/>
        </w:rPr>
        <w:t xml:space="preserve">; критерии p – значения больше заданного уровня значимости 0,05; критическое значение коэффициента Стьюдента (t-критерия) для доверительной вероятности p = 0,95 и числа степеней свободы f = 10, превышает значения статистики по абсолютной величине критического значения данного распределения и т. п.) в связи с чем она подверглась ряду преобразований, направленных на достижение статистически значимых результатов. При этом основным инструментом оптимизации регрессионной модели стал метод фиктивных переменных, позволяющий определить влияние качественных признаков и </w:t>
      </w:r>
      <w:r w:rsidRPr="00BA321C">
        <w:rPr>
          <w:rFonts w:ascii="Times New Roman" w:hAnsi="Times New Roman"/>
          <w:sz w:val="28"/>
          <w:szCs w:val="28"/>
        </w:rPr>
        <w:lastRenderedPageBreak/>
        <w:t xml:space="preserve">событий на объясняемую переменную – индекс ВРП. При этом фиктивная переменная является дихотомической, принимающей, соответственно, два значения: </w:t>
      </w:r>
      <w:r w:rsidRPr="00BA321C">
        <w:rPr>
          <w:rFonts w:ascii="Times New Roman" w:hAnsi="Times New Roman"/>
          <w:sz w:val="28"/>
          <w:szCs w:val="28"/>
          <w:lang w:val="en-US"/>
        </w:rPr>
        <w:t>f</w:t>
      </w:r>
      <w:r w:rsidRPr="00BA321C">
        <w:rPr>
          <w:rFonts w:ascii="Times New Roman" w:hAnsi="Times New Roman"/>
          <w:sz w:val="28"/>
          <w:szCs w:val="28"/>
        </w:rPr>
        <w:t xml:space="preserve">=1, в случае если остатки значений предсказанного ряда принимают положительное значение и f=0 - если отрицательное. Окончательная модель, оценивающая влияние индекса опережающего развития на динамику ВРП представлена в таблицах </w:t>
      </w:r>
      <w:r w:rsidR="003130C6" w:rsidRPr="00BA321C">
        <w:rPr>
          <w:rFonts w:ascii="Times New Roman" w:hAnsi="Times New Roman"/>
          <w:sz w:val="28"/>
          <w:szCs w:val="28"/>
        </w:rPr>
        <w:t>П4.3, П4.4.</w:t>
      </w:r>
      <w:r w:rsidRPr="00BA321C">
        <w:rPr>
          <w:rFonts w:ascii="Times New Roman" w:hAnsi="Times New Roman"/>
          <w:sz w:val="28"/>
          <w:szCs w:val="28"/>
        </w:rPr>
        <w:t xml:space="preserve"> </w:t>
      </w:r>
    </w:p>
    <w:p w:rsidR="003130C6" w:rsidRPr="00BA321C" w:rsidRDefault="003130C6" w:rsidP="00BA321C">
      <w:pPr>
        <w:shd w:val="clear" w:color="auto" w:fill="FFFFFF" w:themeFill="background1"/>
        <w:spacing w:after="0" w:line="360" w:lineRule="auto"/>
        <w:jc w:val="both"/>
        <w:rPr>
          <w:rFonts w:ascii="Times New Roman" w:hAnsi="Times New Roman"/>
          <w:sz w:val="28"/>
          <w:szCs w:val="28"/>
        </w:rPr>
      </w:pPr>
    </w:p>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3130C6" w:rsidRPr="00BA321C">
        <w:rPr>
          <w:rFonts w:ascii="Times New Roman" w:hAnsi="Times New Roman"/>
          <w:sz w:val="28"/>
          <w:szCs w:val="28"/>
        </w:rPr>
        <w:t>П4.</w:t>
      </w:r>
      <w:r w:rsidRPr="00BA321C">
        <w:rPr>
          <w:rFonts w:ascii="Times New Roman" w:hAnsi="Times New Roman"/>
          <w:sz w:val="28"/>
          <w:szCs w:val="28"/>
        </w:rPr>
        <w:t>3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0"/>
        <w:gridCol w:w="2815"/>
      </w:tblGrid>
      <w:tr w:rsidR="006C6F3D" w:rsidRPr="00BA321C" w:rsidTr="00675A9F">
        <w:trPr>
          <w:trHeight w:val="300"/>
        </w:trPr>
        <w:tc>
          <w:tcPr>
            <w:tcW w:w="3494"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Множественный R</w:t>
            </w:r>
          </w:p>
        </w:tc>
        <w:tc>
          <w:tcPr>
            <w:tcW w:w="1506" w:type="pct"/>
            <w:shd w:val="clear" w:color="auto" w:fill="auto"/>
            <w:noWrap/>
            <w:vAlign w:val="bottom"/>
            <w:hideMark/>
          </w:tcPr>
          <w:p w:rsidR="006C6F3D" w:rsidRPr="00BA321C" w:rsidRDefault="0025468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0,812014783</w:t>
            </w:r>
          </w:p>
        </w:tc>
      </w:tr>
      <w:tr w:rsidR="006C6F3D" w:rsidRPr="00BA321C" w:rsidTr="00675A9F">
        <w:trPr>
          <w:trHeight w:val="300"/>
        </w:trPr>
        <w:tc>
          <w:tcPr>
            <w:tcW w:w="3494"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R-квадрат</w:t>
            </w:r>
          </w:p>
        </w:tc>
        <w:tc>
          <w:tcPr>
            <w:tcW w:w="1506" w:type="pct"/>
            <w:shd w:val="clear" w:color="auto" w:fill="auto"/>
            <w:noWrap/>
            <w:vAlign w:val="bottom"/>
            <w:hideMark/>
          </w:tcPr>
          <w:p w:rsidR="006C6F3D" w:rsidRPr="00BA321C" w:rsidRDefault="0025468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0,756987025</w:t>
            </w:r>
          </w:p>
        </w:tc>
      </w:tr>
      <w:tr w:rsidR="006C6F3D" w:rsidRPr="00BA321C" w:rsidTr="00675A9F">
        <w:trPr>
          <w:trHeight w:val="300"/>
        </w:trPr>
        <w:tc>
          <w:tcPr>
            <w:tcW w:w="3494"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Нормированный R-квадрат</w:t>
            </w:r>
          </w:p>
        </w:tc>
        <w:tc>
          <w:tcPr>
            <w:tcW w:w="1506"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25468D" w:rsidRPr="00BA321C">
              <w:rPr>
                <w:rFonts w:ascii="Times New Roman" w:eastAsia="Times New Roman" w:hAnsi="Times New Roman"/>
                <w:sz w:val="28"/>
                <w:szCs w:val="28"/>
                <w:lang w:eastAsia="ru-RU"/>
              </w:rPr>
              <w:t>832198042</w:t>
            </w:r>
          </w:p>
        </w:tc>
      </w:tr>
      <w:tr w:rsidR="006C6F3D" w:rsidRPr="00BA321C" w:rsidTr="00675A9F">
        <w:trPr>
          <w:trHeight w:val="300"/>
        </w:trPr>
        <w:tc>
          <w:tcPr>
            <w:tcW w:w="3494"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Стандартная ошибка</w:t>
            </w:r>
          </w:p>
        </w:tc>
        <w:tc>
          <w:tcPr>
            <w:tcW w:w="1506" w:type="pct"/>
            <w:shd w:val="clear" w:color="auto" w:fill="auto"/>
            <w:noWrap/>
            <w:vAlign w:val="bottom"/>
            <w:hideMark/>
          </w:tcPr>
          <w:p w:rsidR="006C6F3D" w:rsidRPr="00BA321C" w:rsidRDefault="0025468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0,420569152</w:t>
            </w:r>
          </w:p>
        </w:tc>
      </w:tr>
      <w:tr w:rsidR="006C6F3D" w:rsidRPr="00BA321C" w:rsidTr="00675A9F">
        <w:trPr>
          <w:trHeight w:val="315"/>
        </w:trPr>
        <w:tc>
          <w:tcPr>
            <w:tcW w:w="3494"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Наблюдения</w:t>
            </w:r>
          </w:p>
        </w:tc>
        <w:tc>
          <w:tcPr>
            <w:tcW w:w="1506"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10</w:t>
            </w:r>
          </w:p>
        </w:tc>
      </w:tr>
    </w:tbl>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p>
    <w:p w:rsidR="006C6F3D" w:rsidRPr="00BA321C" w:rsidRDefault="006C6F3D"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 xml:space="preserve">Таблица </w:t>
      </w:r>
      <w:r w:rsidR="003130C6" w:rsidRPr="00BA321C">
        <w:rPr>
          <w:rFonts w:ascii="Times New Roman" w:hAnsi="Times New Roman"/>
          <w:sz w:val="28"/>
          <w:szCs w:val="28"/>
        </w:rPr>
        <w:t>П4.</w:t>
      </w:r>
      <w:r w:rsidRPr="00BA321C">
        <w:rPr>
          <w:rFonts w:ascii="Times New Roman" w:hAnsi="Times New Roman"/>
          <w:sz w:val="28"/>
          <w:szCs w:val="28"/>
        </w:rPr>
        <w:t>4 - Значения коэффициентов и их статистическая значимость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1860"/>
        <w:gridCol w:w="2440"/>
        <w:gridCol w:w="1611"/>
        <w:gridCol w:w="1638"/>
      </w:tblGrid>
      <w:tr w:rsidR="006C6F3D" w:rsidRPr="00BA321C" w:rsidTr="00675A9F">
        <w:trPr>
          <w:trHeight w:val="300"/>
        </w:trPr>
        <w:tc>
          <w:tcPr>
            <w:tcW w:w="917" w:type="pct"/>
            <w:shd w:val="clear" w:color="auto" w:fill="auto"/>
            <w:noWrap/>
            <w:vAlign w:val="center"/>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iCs/>
                <w:sz w:val="28"/>
                <w:szCs w:val="28"/>
                <w:lang w:eastAsia="ru-RU"/>
              </w:rPr>
            </w:pPr>
          </w:p>
        </w:tc>
        <w:tc>
          <w:tcPr>
            <w:tcW w:w="939" w:type="pct"/>
            <w:shd w:val="clear" w:color="auto" w:fill="auto"/>
            <w:noWrap/>
            <w:vAlign w:val="center"/>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Коэффициенты</w:t>
            </w:r>
          </w:p>
        </w:tc>
        <w:tc>
          <w:tcPr>
            <w:tcW w:w="1230" w:type="pct"/>
            <w:shd w:val="clear" w:color="auto" w:fill="auto"/>
            <w:noWrap/>
            <w:vAlign w:val="center"/>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Стандартная ошибка</w:t>
            </w:r>
          </w:p>
        </w:tc>
        <w:tc>
          <w:tcPr>
            <w:tcW w:w="813" w:type="pct"/>
            <w:shd w:val="clear" w:color="auto" w:fill="auto"/>
            <w:noWrap/>
            <w:vAlign w:val="center"/>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t-статистика</w:t>
            </w:r>
          </w:p>
        </w:tc>
        <w:tc>
          <w:tcPr>
            <w:tcW w:w="1101" w:type="pct"/>
            <w:shd w:val="clear" w:color="auto" w:fill="auto"/>
            <w:noWrap/>
            <w:vAlign w:val="center"/>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iCs/>
                <w:sz w:val="28"/>
                <w:szCs w:val="28"/>
                <w:lang w:eastAsia="ru-RU"/>
              </w:rPr>
            </w:pPr>
            <w:r w:rsidRPr="00BA321C">
              <w:rPr>
                <w:rFonts w:ascii="Times New Roman" w:eastAsia="Times New Roman" w:hAnsi="Times New Roman"/>
                <w:iCs/>
                <w:sz w:val="28"/>
                <w:szCs w:val="28"/>
                <w:lang w:eastAsia="ru-RU"/>
              </w:rPr>
              <w:t>P-Значение</w:t>
            </w:r>
          </w:p>
        </w:tc>
      </w:tr>
      <w:tr w:rsidR="006C6F3D" w:rsidRPr="00BA321C" w:rsidTr="00675A9F">
        <w:trPr>
          <w:trHeight w:val="300"/>
        </w:trPr>
        <w:tc>
          <w:tcPr>
            <w:tcW w:w="917"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Y-пересечение</w:t>
            </w:r>
          </w:p>
        </w:tc>
        <w:tc>
          <w:tcPr>
            <w:tcW w:w="939"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86</w:t>
            </w:r>
            <w:r w:rsidR="006C6F3D" w:rsidRPr="00BA321C">
              <w:rPr>
                <w:rFonts w:ascii="Times New Roman" w:eastAsia="Times New Roman" w:hAnsi="Times New Roman"/>
                <w:sz w:val="28"/>
                <w:szCs w:val="28"/>
                <w:lang w:eastAsia="ru-RU"/>
              </w:rPr>
              <w:t>,</w:t>
            </w:r>
            <w:r w:rsidRPr="00BA321C">
              <w:rPr>
                <w:rFonts w:ascii="Times New Roman" w:eastAsia="Times New Roman" w:hAnsi="Times New Roman"/>
                <w:sz w:val="28"/>
                <w:szCs w:val="28"/>
                <w:lang w:eastAsia="ru-RU"/>
              </w:rPr>
              <w:t>222045124</w:t>
            </w:r>
          </w:p>
        </w:tc>
        <w:tc>
          <w:tcPr>
            <w:tcW w:w="1230"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0,095214852</w:t>
            </w:r>
          </w:p>
        </w:tc>
        <w:tc>
          <w:tcPr>
            <w:tcW w:w="813"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w:t>
            </w:r>
            <w:r w:rsidR="00675A9F" w:rsidRPr="00BA321C">
              <w:rPr>
                <w:rFonts w:ascii="Times New Roman" w:eastAsia="Times New Roman" w:hAnsi="Times New Roman"/>
                <w:sz w:val="28"/>
                <w:szCs w:val="28"/>
                <w:lang w:eastAsia="ru-RU"/>
              </w:rPr>
              <w:t>3</w:t>
            </w:r>
            <w:r w:rsidRPr="00BA321C">
              <w:rPr>
                <w:rFonts w:ascii="Times New Roman" w:eastAsia="Times New Roman" w:hAnsi="Times New Roman"/>
                <w:sz w:val="28"/>
                <w:szCs w:val="28"/>
                <w:lang w:eastAsia="ru-RU"/>
              </w:rPr>
              <w:t>,</w:t>
            </w:r>
            <w:r w:rsidR="00675A9F" w:rsidRPr="00BA321C">
              <w:rPr>
                <w:rFonts w:ascii="Times New Roman" w:eastAsia="Times New Roman" w:hAnsi="Times New Roman"/>
                <w:sz w:val="28"/>
                <w:szCs w:val="28"/>
                <w:lang w:eastAsia="ru-RU"/>
              </w:rPr>
              <w:t>201457555</w:t>
            </w:r>
          </w:p>
        </w:tc>
        <w:tc>
          <w:tcPr>
            <w:tcW w:w="1101"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1,</w:t>
            </w:r>
            <w:r w:rsidR="00675A9F" w:rsidRPr="00BA321C">
              <w:rPr>
                <w:rFonts w:ascii="Times New Roman" w:eastAsia="Times New Roman" w:hAnsi="Times New Roman"/>
                <w:sz w:val="28"/>
                <w:szCs w:val="28"/>
                <w:lang w:eastAsia="ru-RU"/>
              </w:rPr>
              <w:t>25785</w:t>
            </w:r>
            <w:r w:rsidRPr="00BA321C">
              <w:rPr>
                <w:rFonts w:ascii="Times New Roman" w:eastAsia="Times New Roman" w:hAnsi="Times New Roman"/>
                <w:sz w:val="28"/>
                <w:szCs w:val="28"/>
                <w:lang w:eastAsia="ru-RU"/>
              </w:rPr>
              <w:t>E-0</w:t>
            </w:r>
            <w:r w:rsidR="00675A9F" w:rsidRPr="00BA321C">
              <w:rPr>
                <w:rFonts w:ascii="Times New Roman" w:eastAsia="Times New Roman" w:hAnsi="Times New Roman"/>
                <w:sz w:val="28"/>
                <w:szCs w:val="28"/>
                <w:lang w:eastAsia="ru-RU"/>
              </w:rPr>
              <w:t>3</w:t>
            </w:r>
          </w:p>
        </w:tc>
      </w:tr>
      <w:tr w:rsidR="006C6F3D" w:rsidRPr="00BA321C" w:rsidTr="00675A9F">
        <w:trPr>
          <w:trHeight w:val="300"/>
        </w:trPr>
        <w:tc>
          <w:tcPr>
            <w:tcW w:w="917"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f1</w:t>
            </w:r>
          </w:p>
        </w:tc>
        <w:tc>
          <w:tcPr>
            <w:tcW w:w="939"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675A9F" w:rsidRPr="00BA321C">
              <w:rPr>
                <w:rFonts w:ascii="Times New Roman" w:eastAsia="Times New Roman" w:hAnsi="Times New Roman"/>
                <w:sz w:val="28"/>
                <w:szCs w:val="28"/>
                <w:lang w:eastAsia="ru-RU"/>
              </w:rPr>
              <w:t>15232075</w:t>
            </w:r>
          </w:p>
        </w:tc>
        <w:tc>
          <w:tcPr>
            <w:tcW w:w="1230"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675A9F" w:rsidRPr="00BA321C">
              <w:rPr>
                <w:rFonts w:ascii="Times New Roman" w:eastAsia="Times New Roman" w:hAnsi="Times New Roman"/>
                <w:sz w:val="28"/>
                <w:szCs w:val="28"/>
                <w:lang w:eastAsia="ru-RU"/>
              </w:rPr>
              <w:t>056521494</w:t>
            </w:r>
          </w:p>
        </w:tc>
        <w:tc>
          <w:tcPr>
            <w:tcW w:w="813"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5,235102585</w:t>
            </w:r>
          </w:p>
        </w:tc>
        <w:tc>
          <w:tcPr>
            <w:tcW w:w="1101"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3</w:t>
            </w:r>
            <w:r w:rsidR="006C6F3D" w:rsidRPr="00BA321C">
              <w:rPr>
                <w:rFonts w:ascii="Times New Roman" w:eastAsia="Times New Roman" w:hAnsi="Times New Roman"/>
                <w:sz w:val="28"/>
                <w:szCs w:val="28"/>
                <w:lang w:eastAsia="ru-RU"/>
              </w:rPr>
              <w:t>,</w:t>
            </w:r>
            <w:r w:rsidRPr="00BA321C">
              <w:rPr>
                <w:rFonts w:ascii="Times New Roman" w:eastAsia="Times New Roman" w:hAnsi="Times New Roman"/>
                <w:sz w:val="28"/>
                <w:szCs w:val="28"/>
                <w:lang w:eastAsia="ru-RU"/>
              </w:rPr>
              <w:t>205874</w:t>
            </w:r>
            <w:r w:rsidR="006C6F3D" w:rsidRPr="00BA321C">
              <w:rPr>
                <w:rFonts w:ascii="Times New Roman" w:eastAsia="Times New Roman" w:hAnsi="Times New Roman"/>
                <w:sz w:val="28"/>
                <w:szCs w:val="28"/>
                <w:lang w:eastAsia="ru-RU"/>
              </w:rPr>
              <w:t>E-0</w:t>
            </w:r>
            <w:r w:rsidRPr="00BA321C">
              <w:rPr>
                <w:rFonts w:ascii="Times New Roman" w:eastAsia="Times New Roman" w:hAnsi="Times New Roman"/>
                <w:sz w:val="28"/>
                <w:szCs w:val="28"/>
                <w:lang w:eastAsia="ru-RU"/>
              </w:rPr>
              <w:t>6</w:t>
            </w:r>
          </w:p>
        </w:tc>
      </w:tr>
      <w:tr w:rsidR="006C6F3D" w:rsidRPr="00BA321C" w:rsidTr="00675A9F">
        <w:trPr>
          <w:trHeight w:val="300"/>
        </w:trPr>
        <w:tc>
          <w:tcPr>
            <w:tcW w:w="917" w:type="pct"/>
            <w:shd w:val="clear" w:color="auto" w:fill="auto"/>
            <w:noWrap/>
            <w:vAlign w:val="bottom"/>
            <w:hideMark/>
          </w:tcPr>
          <w:p w:rsidR="006C6F3D" w:rsidRPr="00BA321C" w:rsidRDefault="006C6F3D" w:rsidP="00BA321C">
            <w:pPr>
              <w:shd w:val="clear" w:color="auto" w:fill="FFFFFF" w:themeFill="background1"/>
              <w:spacing w:after="0" w:line="360" w:lineRule="auto"/>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Свод. индекс</w:t>
            </w:r>
          </w:p>
        </w:tc>
        <w:tc>
          <w:tcPr>
            <w:tcW w:w="939"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F7587C" w:rsidRPr="00BA321C">
              <w:rPr>
                <w:rFonts w:ascii="Times New Roman" w:eastAsia="Times New Roman" w:hAnsi="Times New Roman"/>
                <w:sz w:val="28"/>
                <w:szCs w:val="28"/>
                <w:lang w:eastAsia="ru-RU"/>
              </w:rPr>
              <w:t>2</w:t>
            </w:r>
            <w:r w:rsidR="00675A9F" w:rsidRPr="00BA321C">
              <w:rPr>
                <w:rFonts w:ascii="Times New Roman" w:eastAsia="Times New Roman" w:hAnsi="Times New Roman"/>
                <w:sz w:val="28"/>
                <w:szCs w:val="28"/>
                <w:lang w:eastAsia="ru-RU"/>
              </w:rPr>
              <w:t>56210846</w:t>
            </w:r>
          </w:p>
        </w:tc>
        <w:tc>
          <w:tcPr>
            <w:tcW w:w="1230" w:type="pct"/>
            <w:shd w:val="clear" w:color="auto" w:fill="auto"/>
            <w:noWrap/>
            <w:vAlign w:val="bottom"/>
            <w:hideMark/>
          </w:tcPr>
          <w:p w:rsidR="006C6F3D" w:rsidRPr="00BA321C" w:rsidRDefault="006C6F3D"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0,</w:t>
            </w:r>
            <w:r w:rsidR="00675A9F" w:rsidRPr="00BA321C">
              <w:rPr>
                <w:rFonts w:ascii="Times New Roman" w:eastAsia="Times New Roman" w:hAnsi="Times New Roman"/>
                <w:sz w:val="28"/>
                <w:szCs w:val="28"/>
                <w:lang w:eastAsia="ru-RU"/>
              </w:rPr>
              <w:t>142365483</w:t>
            </w:r>
          </w:p>
        </w:tc>
        <w:tc>
          <w:tcPr>
            <w:tcW w:w="813"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9,235874005</w:t>
            </w:r>
          </w:p>
        </w:tc>
        <w:tc>
          <w:tcPr>
            <w:tcW w:w="1101" w:type="pct"/>
            <w:shd w:val="clear" w:color="auto" w:fill="auto"/>
            <w:noWrap/>
            <w:vAlign w:val="bottom"/>
            <w:hideMark/>
          </w:tcPr>
          <w:p w:rsidR="006C6F3D" w:rsidRPr="00BA321C" w:rsidRDefault="00675A9F" w:rsidP="00BA321C">
            <w:pPr>
              <w:shd w:val="clear" w:color="auto" w:fill="FFFFFF" w:themeFill="background1"/>
              <w:spacing w:after="0" w:line="360" w:lineRule="auto"/>
              <w:jc w:val="center"/>
              <w:rPr>
                <w:rFonts w:ascii="Times New Roman" w:eastAsia="Times New Roman" w:hAnsi="Times New Roman"/>
                <w:sz w:val="28"/>
                <w:szCs w:val="28"/>
                <w:lang w:eastAsia="ru-RU"/>
              </w:rPr>
            </w:pPr>
            <w:r w:rsidRPr="00BA321C">
              <w:rPr>
                <w:rFonts w:ascii="Times New Roman" w:eastAsia="Times New Roman" w:hAnsi="Times New Roman"/>
                <w:sz w:val="28"/>
                <w:szCs w:val="28"/>
                <w:lang w:eastAsia="ru-RU"/>
              </w:rPr>
              <w:t>2</w:t>
            </w:r>
            <w:r w:rsidR="006C6F3D" w:rsidRPr="00BA321C">
              <w:rPr>
                <w:rFonts w:ascii="Times New Roman" w:eastAsia="Times New Roman" w:hAnsi="Times New Roman"/>
                <w:sz w:val="28"/>
                <w:szCs w:val="28"/>
                <w:lang w:eastAsia="ru-RU"/>
              </w:rPr>
              <w:t>,</w:t>
            </w:r>
            <w:r w:rsidRPr="00BA321C">
              <w:rPr>
                <w:rFonts w:ascii="Times New Roman" w:eastAsia="Times New Roman" w:hAnsi="Times New Roman"/>
                <w:sz w:val="28"/>
                <w:szCs w:val="28"/>
                <w:lang w:eastAsia="ru-RU"/>
              </w:rPr>
              <w:t>00259</w:t>
            </w:r>
            <w:r w:rsidR="006C6F3D" w:rsidRPr="00BA321C">
              <w:rPr>
                <w:rFonts w:ascii="Times New Roman" w:eastAsia="Times New Roman" w:hAnsi="Times New Roman"/>
                <w:sz w:val="28"/>
                <w:szCs w:val="28"/>
                <w:lang w:eastAsia="ru-RU"/>
              </w:rPr>
              <w:t>E-</w:t>
            </w:r>
            <w:r w:rsidRPr="00BA321C">
              <w:rPr>
                <w:rFonts w:ascii="Times New Roman" w:eastAsia="Times New Roman" w:hAnsi="Times New Roman"/>
                <w:sz w:val="28"/>
                <w:szCs w:val="28"/>
                <w:lang w:eastAsia="ru-RU"/>
              </w:rPr>
              <w:t>4</w:t>
            </w:r>
          </w:p>
        </w:tc>
      </w:tr>
    </w:tbl>
    <w:p w:rsidR="006C6F3D" w:rsidRPr="00BA321C" w:rsidRDefault="006C6F3D" w:rsidP="00BA321C">
      <w:pPr>
        <w:shd w:val="clear" w:color="auto" w:fill="FFFFFF" w:themeFill="background1"/>
        <w:spacing w:after="0" w:line="360" w:lineRule="auto"/>
        <w:ind w:firstLine="851"/>
        <w:jc w:val="both"/>
        <w:rPr>
          <w:rFonts w:ascii="Times New Roman" w:hAnsi="Times New Roman"/>
          <w:sz w:val="28"/>
          <w:szCs w:val="28"/>
        </w:rPr>
      </w:pPr>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C3319" w:rsidRPr="00BA321C" w:rsidRDefault="006C3319"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lastRenderedPageBreak/>
        <w:t xml:space="preserve">2. Результаты регрессионного анализа влияния индекса СЭП на динамику ВРП Ульяновской области за период с 2005 по 2014гг. (последовательность расчетов). </w:t>
      </w: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Таблица П4.5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5"/>
        <w:gridCol w:w="3260"/>
      </w:tblGrid>
      <w:tr w:rsidR="00675A9F" w:rsidRPr="00BA321C" w:rsidTr="00675A9F">
        <w:trPr>
          <w:trHeight w:val="300"/>
        </w:trPr>
        <w:tc>
          <w:tcPr>
            <w:tcW w:w="3256" w:type="pct"/>
            <w:shd w:val="clear" w:color="auto" w:fill="auto"/>
            <w:noWrap/>
            <w:vAlign w:val="bottom"/>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Показатель</w:t>
            </w:r>
          </w:p>
        </w:tc>
        <w:tc>
          <w:tcPr>
            <w:tcW w:w="1744" w:type="pct"/>
            <w:shd w:val="clear" w:color="auto" w:fill="auto"/>
            <w:noWrap/>
            <w:vAlign w:val="bottom"/>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Значение</w:t>
            </w:r>
          </w:p>
        </w:tc>
      </w:tr>
      <w:tr w:rsidR="00675A9F" w:rsidRPr="00BA321C" w:rsidTr="00675A9F">
        <w:trPr>
          <w:trHeight w:val="300"/>
        </w:trPr>
        <w:tc>
          <w:tcPr>
            <w:tcW w:w="3256"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Множественный R</w:t>
            </w:r>
          </w:p>
        </w:tc>
        <w:tc>
          <w:tcPr>
            <w:tcW w:w="1744"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0,463214583</w:t>
            </w:r>
          </w:p>
        </w:tc>
      </w:tr>
      <w:tr w:rsidR="00675A9F" w:rsidRPr="00BA321C" w:rsidTr="00675A9F">
        <w:trPr>
          <w:trHeight w:val="300"/>
        </w:trPr>
        <w:tc>
          <w:tcPr>
            <w:tcW w:w="3256"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R-квадрат</w:t>
            </w:r>
          </w:p>
        </w:tc>
        <w:tc>
          <w:tcPr>
            <w:tcW w:w="1744"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0,421000589</w:t>
            </w:r>
          </w:p>
        </w:tc>
      </w:tr>
      <w:tr w:rsidR="00675A9F" w:rsidRPr="00BA321C" w:rsidTr="00675A9F">
        <w:trPr>
          <w:trHeight w:val="300"/>
        </w:trPr>
        <w:tc>
          <w:tcPr>
            <w:tcW w:w="3256"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Нормированный R-квадрат</w:t>
            </w:r>
          </w:p>
        </w:tc>
        <w:tc>
          <w:tcPr>
            <w:tcW w:w="1744"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0,512588896</w:t>
            </w:r>
          </w:p>
        </w:tc>
      </w:tr>
      <w:tr w:rsidR="00675A9F" w:rsidRPr="00BA321C" w:rsidTr="00675A9F">
        <w:trPr>
          <w:trHeight w:val="300"/>
        </w:trPr>
        <w:tc>
          <w:tcPr>
            <w:tcW w:w="3256"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Стандартная ошибка</w:t>
            </w:r>
          </w:p>
        </w:tc>
        <w:tc>
          <w:tcPr>
            <w:tcW w:w="1744"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3,752369824</w:t>
            </w:r>
          </w:p>
        </w:tc>
      </w:tr>
      <w:tr w:rsidR="00675A9F" w:rsidRPr="00BA321C" w:rsidTr="00675A9F">
        <w:trPr>
          <w:trHeight w:val="315"/>
        </w:trPr>
        <w:tc>
          <w:tcPr>
            <w:tcW w:w="3256"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Наблюдения</w:t>
            </w:r>
          </w:p>
        </w:tc>
        <w:tc>
          <w:tcPr>
            <w:tcW w:w="1744"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10</w:t>
            </w:r>
          </w:p>
        </w:tc>
      </w:tr>
    </w:tbl>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Таблица П4.6 – Значения коэффициентов и их статистическая значимость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6"/>
        <w:gridCol w:w="1921"/>
        <w:gridCol w:w="2518"/>
        <w:gridCol w:w="1579"/>
        <w:gridCol w:w="1471"/>
      </w:tblGrid>
      <w:tr w:rsidR="00675A9F" w:rsidRPr="00BA321C" w:rsidTr="00675A9F">
        <w:trPr>
          <w:trHeight w:val="300"/>
        </w:trPr>
        <w:tc>
          <w:tcPr>
            <w:tcW w:w="993"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
                <w:iCs/>
                <w:sz w:val="24"/>
                <w:szCs w:val="28"/>
                <w:lang w:eastAsia="ru-RU"/>
              </w:rPr>
              <w:t> </w:t>
            </w:r>
          </w:p>
        </w:tc>
        <w:tc>
          <w:tcPr>
            <w:tcW w:w="1028"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Коэффициенты</w:t>
            </w:r>
          </w:p>
        </w:tc>
        <w:tc>
          <w:tcPr>
            <w:tcW w:w="1347"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Стандартная ошибка</w:t>
            </w:r>
          </w:p>
        </w:tc>
        <w:tc>
          <w:tcPr>
            <w:tcW w:w="845"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t-статистика</w:t>
            </w:r>
          </w:p>
        </w:tc>
        <w:tc>
          <w:tcPr>
            <w:tcW w:w="787"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P-Значение</w:t>
            </w:r>
          </w:p>
        </w:tc>
      </w:tr>
      <w:tr w:rsidR="00675A9F" w:rsidRPr="00BA321C" w:rsidTr="00675A9F">
        <w:trPr>
          <w:trHeight w:val="300"/>
        </w:trPr>
        <w:tc>
          <w:tcPr>
            <w:tcW w:w="993"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Y-пересечение</w:t>
            </w:r>
          </w:p>
        </w:tc>
        <w:tc>
          <w:tcPr>
            <w:tcW w:w="1028"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76,3</w:t>
            </w:r>
          </w:p>
        </w:tc>
        <w:tc>
          <w:tcPr>
            <w:tcW w:w="1347"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3,254</w:t>
            </w:r>
          </w:p>
        </w:tc>
        <w:tc>
          <w:tcPr>
            <w:tcW w:w="845"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1,621</w:t>
            </w:r>
          </w:p>
        </w:tc>
        <w:tc>
          <w:tcPr>
            <w:tcW w:w="787"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0,093</w:t>
            </w:r>
          </w:p>
        </w:tc>
      </w:tr>
      <w:tr w:rsidR="00675A9F" w:rsidRPr="00BA321C" w:rsidTr="00675A9F">
        <w:trPr>
          <w:trHeight w:val="315"/>
        </w:trPr>
        <w:tc>
          <w:tcPr>
            <w:tcW w:w="993"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I</w:t>
            </w:r>
          </w:p>
        </w:tc>
        <w:tc>
          <w:tcPr>
            <w:tcW w:w="1028"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0,2</w:t>
            </w:r>
            <w:r w:rsidR="00F7587C" w:rsidRPr="00BA321C">
              <w:rPr>
                <w:rFonts w:ascii="Times New Roman" w:eastAsia="Times New Roman" w:hAnsi="Times New Roman"/>
                <w:sz w:val="24"/>
                <w:szCs w:val="28"/>
                <w:lang w:eastAsia="ru-RU"/>
              </w:rPr>
              <w:t>9</w:t>
            </w:r>
            <w:r w:rsidRPr="00BA321C">
              <w:rPr>
                <w:rFonts w:ascii="Times New Roman" w:eastAsia="Times New Roman" w:hAnsi="Times New Roman"/>
                <w:sz w:val="24"/>
                <w:szCs w:val="28"/>
                <w:lang w:eastAsia="ru-RU"/>
              </w:rPr>
              <w:t>1</w:t>
            </w:r>
          </w:p>
        </w:tc>
        <w:tc>
          <w:tcPr>
            <w:tcW w:w="1347"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0,694</w:t>
            </w:r>
          </w:p>
        </w:tc>
        <w:tc>
          <w:tcPr>
            <w:tcW w:w="845"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1,227</w:t>
            </w:r>
          </w:p>
        </w:tc>
        <w:tc>
          <w:tcPr>
            <w:tcW w:w="787"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0,321</w:t>
            </w:r>
          </w:p>
        </w:tc>
      </w:tr>
    </w:tbl>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ind w:firstLine="851"/>
        <w:jc w:val="both"/>
        <w:rPr>
          <w:rFonts w:ascii="Times New Roman" w:hAnsi="Times New Roman"/>
          <w:sz w:val="28"/>
          <w:szCs w:val="28"/>
        </w:rPr>
      </w:pPr>
      <w:r w:rsidRPr="00BA321C">
        <w:rPr>
          <w:rFonts w:ascii="Times New Roman" w:hAnsi="Times New Roman"/>
          <w:sz w:val="28"/>
          <w:szCs w:val="28"/>
        </w:rPr>
        <w:t xml:space="preserve">Представленные результаты расчетов демонстрируют несостоятельность построенной модели (R2 = 0.42; критерии p – значения больше заданного уровня значимости 0,05; критическое значение коэффициента Стьюдента (t-критерия) для доверительной вероятности p = 0,95 и числа степеней свободы f = 10, превышает значения статистики по абсолютной величине критического значения данного распределения и т. п.) в связи с чем она подверглась ряду преобразований, направленных на достижение статистически значимых результатов. При этом основным инструментом оптимизации регрессионной модели стал метод фиктивных переменных, позволяющий определить влияние качественных признаков и событий на объясняемую переменную – индекс ВРП. При этом фиктивная переменная является дихотомической, принимающей, соответственно, два значения: </w:t>
      </w:r>
      <w:r w:rsidRPr="00BA321C">
        <w:rPr>
          <w:rFonts w:ascii="Times New Roman" w:hAnsi="Times New Roman"/>
          <w:sz w:val="28"/>
          <w:szCs w:val="28"/>
          <w:lang w:val="en-US"/>
        </w:rPr>
        <w:t>f</w:t>
      </w:r>
      <w:r w:rsidRPr="00BA321C">
        <w:rPr>
          <w:rFonts w:ascii="Times New Roman" w:hAnsi="Times New Roman"/>
          <w:sz w:val="28"/>
          <w:szCs w:val="28"/>
        </w:rPr>
        <w:t xml:space="preserve">=1, в случае если остатки значений предсказанного ряда принимают положительное значение и f=0 - если отрицательное. Окончательная модель, </w:t>
      </w:r>
      <w:r w:rsidRPr="00BA321C">
        <w:rPr>
          <w:rFonts w:ascii="Times New Roman" w:hAnsi="Times New Roman"/>
          <w:sz w:val="28"/>
          <w:szCs w:val="28"/>
        </w:rPr>
        <w:lastRenderedPageBreak/>
        <w:t xml:space="preserve">оценивающая влияние индекса опережающего развития на динамику ВРП представлена в таблицах П4.7, П4.8. </w:t>
      </w: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Таблица П4.7 – Регрессионная статистика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0"/>
        <w:gridCol w:w="2815"/>
      </w:tblGrid>
      <w:tr w:rsidR="00675A9F" w:rsidRPr="00BA321C" w:rsidTr="00675A9F">
        <w:trPr>
          <w:trHeight w:val="300"/>
        </w:trPr>
        <w:tc>
          <w:tcPr>
            <w:tcW w:w="3494"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Множественный R</w:t>
            </w:r>
          </w:p>
        </w:tc>
        <w:tc>
          <w:tcPr>
            <w:tcW w:w="1506"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0,712236951</w:t>
            </w:r>
          </w:p>
        </w:tc>
      </w:tr>
      <w:tr w:rsidR="00675A9F" w:rsidRPr="00BA321C" w:rsidTr="00675A9F">
        <w:trPr>
          <w:trHeight w:val="300"/>
        </w:trPr>
        <w:tc>
          <w:tcPr>
            <w:tcW w:w="3494"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R-квадрат</w:t>
            </w:r>
          </w:p>
        </w:tc>
        <w:tc>
          <w:tcPr>
            <w:tcW w:w="1506"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0,692365874</w:t>
            </w:r>
          </w:p>
        </w:tc>
      </w:tr>
      <w:tr w:rsidR="00675A9F" w:rsidRPr="00BA321C" w:rsidTr="00675A9F">
        <w:trPr>
          <w:trHeight w:val="300"/>
        </w:trPr>
        <w:tc>
          <w:tcPr>
            <w:tcW w:w="3494"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Нормированный R-квадрат</w:t>
            </w:r>
          </w:p>
        </w:tc>
        <w:tc>
          <w:tcPr>
            <w:tcW w:w="1506"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0,751201453</w:t>
            </w:r>
          </w:p>
        </w:tc>
      </w:tr>
      <w:tr w:rsidR="00675A9F" w:rsidRPr="00BA321C" w:rsidTr="00675A9F">
        <w:trPr>
          <w:trHeight w:val="300"/>
        </w:trPr>
        <w:tc>
          <w:tcPr>
            <w:tcW w:w="3494"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Стандартная ошибка</w:t>
            </w:r>
          </w:p>
        </w:tc>
        <w:tc>
          <w:tcPr>
            <w:tcW w:w="1506"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236952101</w:t>
            </w:r>
          </w:p>
        </w:tc>
      </w:tr>
      <w:tr w:rsidR="00675A9F" w:rsidRPr="00BA321C" w:rsidTr="00675A9F">
        <w:trPr>
          <w:trHeight w:val="315"/>
        </w:trPr>
        <w:tc>
          <w:tcPr>
            <w:tcW w:w="3494"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Наблюдения</w:t>
            </w:r>
          </w:p>
        </w:tc>
        <w:tc>
          <w:tcPr>
            <w:tcW w:w="1506"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10</w:t>
            </w:r>
          </w:p>
        </w:tc>
      </w:tr>
    </w:tbl>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r w:rsidRPr="00BA321C">
        <w:rPr>
          <w:rFonts w:ascii="Times New Roman" w:hAnsi="Times New Roman"/>
          <w:sz w:val="28"/>
          <w:szCs w:val="28"/>
        </w:rPr>
        <w:t>Таблица П4.8 - Значения коэффициентов и их статистическая значимость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797"/>
        <w:gridCol w:w="2354"/>
        <w:gridCol w:w="1556"/>
        <w:gridCol w:w="1903"/>
      </w:tblGrid>
      <w:tr w:rsidR="00675A9F" w:rsidRPr="00BA321C" w:rsidTr="00675A9F">
        <w:trPr>
          <w:trHeight w:val="300"/>
        </w:trPr>
        <w:tc>
          <w:tcPr>
            <w:tcW w:w="917"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p>
        </w:tc>
        <w:tc>
          <w:tcPr>
            <w:tcW w:w="939"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Коэффициенты</w:t>
            </w:r>
          </w:p>
        </w:tc>
        <w:tc>
          <w:tcPr>
            <w:tcW w:w="1230"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Стандартная ошибка</w:t>
            </w:r>
          </w:p>
        </w:tc>
        <w:tc>
          <w:tcPr>
            <w:tcW w:w="813"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t-статистика</w:t>
            </w:r>
          </w:p>
        </w:tc>
        <w:tc>
          <w:tcPr>
            <w:tcW w:w="1101" w:type="pct"/>
            <w:shd w:val="clear" w:color="auto" w:fill="auto"/>
            <w:noWrap/>
            <w:vAlign w:val="center"/>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iCs/>
                <w:sz w:val="24"/>
                <w:szCs w:val="28"/>
                <w:lang w:eastAsia="ru-RU"/>
              </w:rPr>
            </w:pPr>
            <w:r w:rsidRPr="00BA321C">
              <w:rPr>
                <w:rFonts w:ascii="Times New Roman" w:eastAsia="Times New Roman" w:hAnsi="Times New Roman"/>
                <w:iCs/>
                <w:sz w:val="24"/>
                <w:szCs w:val="28"/>
                <w:lang w:eastAsia="ru-RU"/>
              </w:rPr>
              <w:t>P-Значение</w:t>
            </w:r>
          </w:p>
        </w:tc>
      </w:tr>
      <w:tr w:rsidR="00675A9F" w:rsidRPr="00BA321C" w:rsidTr="00675A9F">
        <w:trPr>
          <w:trHeight w:val="300"/>
        </w:trPr>
        <w:tc>
          <w:tcPr>
            <w:tcW w:w="917"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Y-пересечение</w:t>
            </w:r>
          </w:p>
        </w:tc>
        <w:tc>
          <w:tcPr>
            <w:tcW w:w="939"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88,0256547</w:t>
            </w:r>
          </w:p>
        </w:tc>
        <w:tc>
          <w:tcPr>
            <w:tcW w:w="1230"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w:t>
            </w:r>
            <w:r w:rsidR="00F7587C" w:rsidRPr="00BA321C">
              <w:rPr>
                <w:rFonts w:ascii="Times New Roman" w:eastAsia="Times New Roman" w:hAnsi="Times New Roman"/>
                <w:sz w:val="24"/>
                <w:szCs w:val="28"/>
                <w:lang w:eastAsia="ru-RU"/>
              </w:rPr>
              <w:t>125985324</w:t>
            </w:r>
          </w:p>
        </w:tc>
        <w:tc>
          <w:tcPr>
            <w:tcW w:w="813"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w:t>
            </w:r>
            <w:r w:rsidR="00F7587C" w:rsidRPr="00BA321C">
              <w:rPr>
                <w:rFonts w:ascii="Times New Roman" w:eastAsia="Times New Roman" w:hAnsi="Times New Roman"/>
                <w:sz w:val="24"/>
                <w:szCs w:val="28"/>
                <w:lang w:eastAsia="ru-RU"/>
              </w:rPr>
              <w:t>5</w:t>
            </w:r>
            <w:r w:rsidRPr="00BA321C">
              <w:rPr>
                <w:rFonts w:ascii="Times New Roman" w:eastAsia="Times New Roman" w:hAnsi="Times New Roman"/>
                <w:sz w:val="24"/>
                <w:szCs w:val="28"/>
                <w:lang w:eastAsia="ru-RU"/>
              </w:rPr>
              <w:t>,</w:t>
            </w:r>
            <w:r w:rsidR="00F7587C" w:rsidRPr="00BA321C">
              <w:rPr>
                <w:rFonts w:ascii="Times New Roman" w:eastAsia="Times New Roman" w:hAnsi="Times New Roman"/>
                <w:sz w:val="24"/>
                <w:szCs w:val="28"/>
                <w:lang w:eastAsia="ru-RU"/>
              </w:rPr>
              <w:t>565231874</w:t>
            </w:r>
          </w:p>
        </w:tc>
        <w:tc>
          <w:tcPr>
            <w:tcW w:w="1101"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2</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02145</w:t>
            </w:r>
            <w:r w:rsidR="00675A9F" w:rsidRPr="00BA321C">
              <w:rPr>
                <w:rFonts w:ascii="Times New Roman" w:eastAsia="Times New Roman" w:hAnsi="Times New Roman"/>
                <w:sz w:val="24"/>
                <w:szCs w:val="28"/>
                <w:lang w:eastAsia="ru-RU"/>
              </w:rPr>
              <w:t>E-0</w:t>
            </w:r>
            <w:r w:rsidRPr="00BA321C">
              <w:rPr>
                <w:rFonts w:ascii="Times New Roman" w:eastAsia="Times New Roman" w:hAnsi="Times New Roman"/>
                <w:sz w:val="24"/>
                <w:szCs w:val="28"/>
                <w:lang w:eastAsia="ru-RU"/>
              </w:rPr>
              <w:t>1</w:t>
            </w:r>
          </w:p>
        </w:tc>
      </w:tr>
      <w:tr w:rsidR="00675A9F" w:rsidRPr="00BA321C" w:rsidTr="00675A9F">
        <w:trPr>
          <w:trHeight w:val="300"/>
        </w:trPr>
        <w:tc>
          <w:tcPr>
            <w:tcW w:w="917"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f1</w:t>
            </w:r>
          </w:p>
        </w:tc>
        <w:tc>
          <w:tcPr>
            <w:tcW w:w="939"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w:t>
            </w:r>
            <w:r w:rsidR="00F7587C" w:rsidRPr="00BA321C">
              <w:rPr>
                <w:rFonts w:ascii="Times New Roman" w:eastAsia="Times New Roman" w:hAnsi="Times New Roman"/>
                <w:sz w:val="24"/>
                <w:szCs w:val="28"/>
                <w:lang w:eastAsia="ru-RU"/>
              </w:rPr>
              <w:t>23657125</w:t>
            </w:r>
          </w:p>
        </w:tc>
        <w:tc>
          <w:tcPr>
            <w:tcW w:w="1230"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w:t>
            </w:r>
            <w:r w:rsidR="00F7587C" w:rsidRPr="00BA321C">
              <w:rPr>
                <w:rFonts w:ascii="Times New Roman" w:eastAsia="Times New Roman" w:hAnsi="Times New Roman"/>
                <w:sz w:val="24"/>
                <w:szCs w:val="28"/>
                <w:lang w:eastAsia="ru-RU"/>
              </w:rPr>
              <w:t>369520142</w:t>
            </w:r>
          </w:p>
        </w:tc>
        <w:tc>
          <w:tcPr>
            <w:tcW w:w="813"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2</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562101455</w:t>
            </w:r>
          </w:p>
        </w:tc>
        <w:tc>
          <w:tcPr>
            <w:tcW w:w="1101"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6</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65402</w:t>
            </w:r>
            <w:r w:rsidR="00675A9F" w:rsidRPr="00BA321C">
              <w:rPr>
                <w:rFonts w:ascii="Times New Roman" w:eastAsia="Times New Roman" w:hAnsi="Times New Roman"/>
                <w:sz w:val="24"/>
                <w:szCs w:val="28"/>
                <w:lang w:eastAsia="ru-RU"/>
              </w:rPr>
              <w:t>E-0</w:t>
            </w:r>
            <w:r w:rsidRPr="00BA321C">
              <w:rPr>
                <w:rFonts w:ascii="Times New Roman" w:eastAsia="Times New Roman" w:hAnsi="Times New Roman"/>
                <w:sz w:val="24"/>
                <w:szCs w:val="28"/>
                <w:lang w:eastAsia="ru-RU"/>
              </w:rPr>
              <w:t>9</w:t>
            </w:r>
          </w:p>
        </w:tc>
      </w:tr>
      <w:tr w:rsidR="00675A9F" w:rsidRPr="00BA321C" w:rsidTr="00675A9F">
        <w:trPr>
          <w:trHeight w:val="300"/>
        </w:trPr>
        <w:tc>
          <w:tcPr>
            <w:tcW w:w="917" w:type="pct"/>
            <w:shd w:val="clear" w:color="auto" w:fill="auto"/>
            <w:noWrap/>
            <w:vAlign w:val="bottom"/>
            <w:hideMark/>
          </w:tcPr>
          <w:p w:rsidR="00675A9F" w:rsidRPr="00BA321C" w:rsidRDefault="00675A9F" w:rsidP="00BA321C">
            <w:pPr>
              <w:shd w:val="clear" w:color="auto" w:fill="FFFFFF" w:themeFill="background1"/>
              <w:spacing w:after="0" w:line="360" w:lineRule="auto"/>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Свод. индекс</w:t>
            </w:r>
          </w:p>
        </w:tc>
        <w:tc>
          <w:tcPr>
            <w:tcW w:w="939"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w:t>
            </w:r>
            <w:r w:rsidR="00F7587C" w:rsidRPr="00BA321C">
              <w:rPr>
                <w:rFonts w:ascii="Times New Roman" w:eastAsia="Times New Roman" w:hAnsi="Times New Roman"/>
                <w:sz w:val="24"/>
                <w:szCs w:val="28"/>
                <w:lang w:eastAsia="ru-RU"/>
              </w:rPr>
              <w:t>21236981</w:t>
            </w:r>
          </w:p>
        </w:tc>
        <w:tc>
          <w:tcPr>
            <w:tcW w:w="1230" w:type="pct"/>
            <w:shd w:val="clear" w:color="auto" w:fill="auto"/>
            <w:noWrap/>
            <w:vAlign w:val="bottom"/>
            <w:hideMark/>
          </w:tcPr>
          <w:p w:rsidR="00675A9F" w:rsidRPr="00BA321C" w:rsidRDefault="00675A9F"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0,</w:t>
            </w:r>
            <w:r w:rsidR="00F7587C" w:rsidRPr="00BA321C">
              <w:rPr>
                <w:rFonts w:ascii="Times New Roman" w:eastAsia="Times New Roman" w:hAnsi="Times New Roman"/>
                <w:sz w:val="24"/>
                <w:szCs w:val="28"/>
                <w:lang w:eastAsia="ru-RU"/>
              </w:rPr>
              <w:t>092365751</w:t>
            </w:r>
          </w:p>
        </w:tc>
        <w:tc>
          <w:tcPr>
            <w:tcW w:w="813"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4</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965874021</w:t>
            </w:r>
          </w:p>
        </w:tc>
        <w:tc>
          <w:tcPr>
            <w:tcW w:w="1101" w:type="pct"/>
            <w:shd w:val="clear" w:color="auto" w:fill="auto"/>
            <w:noWrap/>
            <w:vAlign w:val="bottom"/>
            <w:hideMark/>
          </w:tcPr>
          <w:p w:rsidR="00675A9F" w:rsidRPr="00BA321C" w:rsidRDefault="00F7587C" w:rsidP="00BA321C">
            <w:pPr>
              <w:shd w:val="clear" w:color="auto" w:fill="FFFFFF" w:themeFill="background1"/>
              <w:spacing w:after="0" w:line="360" w:lineRule="auto"/>
              <w:jc w:val="center"/>
              <w:rPr>
                <w:rFonts w:ascii="Times New Roman" w:eastAsia="Times New Roman" w:hAnsi="Times New Roman"/>
                <w:sz w:val="24"/>
                <w:szCs w:val="28"/>
                <w:lang w:eastAsia="ru-RU"/>
              </w:rPr>
            </w:pPr>
            <w:r w:rsidRPr="00BA321C">
              <w:rPr>
                <w:rFonts w:ascii="Times New Roman" w:eastAsia="Times New Roman" w:hAnsi="Times New Roman"/>
                <w:sz w:val="24"/>
                <w:szCs w:val="28"/>
                <w:lang w:eastAsia="ru-RU"/>
              </w:rPr>
              <w:t>4</w:t>
            </w:r>
            <w:r w:rsidR="00675A9F" w:rsidRPr="00BA321C">
              <w:rPr>
                <w:rFonts w:ascii="Times New Roman" w:eastAsia="Times New Roman" w:hAnsi="Times New Roman"/>
                <w:sz w:val="24"/>
                <w:szCs w:val="28"/>
                <w:lang w:eastAsia="ru-RU"/>
              </w:rPr>
              <w:t>,</w:t>
            </w:r>
            <w:r w:rsidRPr="00BA321C">
              <w:rPr>
                <w:rFonts w:ascii="Times New Roman" w:eastAsia="Times New Roman" w:hAnsi="Times New Roman"/>
                <w:sz w:val="24"/>
                <w:szCs w:val="28"/>
                <w:lang w:eastAsia="ru-RU"/>
              </w:rPr>
              <w:t>65408</w:t>
            </w:r>
            <w:r w:rsidR="00675A9F" w:rsidRPr="00BA321C">
              <w:rPr>
                <w:rFonts w:ascii="Times New Roman" w:eastAsia="Times New Roman" w:hAnsi="Times New Roman"/>
                <w:sz w:val="24"/>
                <w:szCs w:val="28"/>
                <w:lang w:eastAsia="ru-RU"/>
              </w:rPr>
              <w:t>E-</w:t>
            </w:r>
            <w:r w:rsidRPr="00BA321C">
              <w:rPr>
                <w:rFonts w:ascii="Times New Roman" w:eastAsia="Times New Roman" w:hAnsi="Times New Roman"/>
                <w:sz w:val="24"/>
                <w:szCs w:val="28"/>
                <w:lang w:eastAsia="ru-RU"/>
              </w:rPr>
              <w:t>5</w:t>
            </w:r>
          </w:p>
        </w:tc>
      </w:tr>
    </w:tbl>
    <w:p w:rsidR="00675A9F" w:rsidRPr="00BA321C" w:rsidRDefault="00675A9F" w:rsidP="00BA321C">
      <w:pPr>
        <w:shd w:val="clear" w:color="auto" w:fill="FFFFFF" w:themeFill="background1"/>
        <w:spacing w:after="0" w:line="360" w:lineRule="auto"/>
        <w:ind w:firstLine="851"/>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F7587C" w:rsidRPr="00BA321C" w:rsidRDefault="00F7587C" w:rsidP="00BA321C">
      <w:pPr>
        <w:shd w:val="clear" w:color="auto" w:fill="FFFFFF" w:themeFill="background1"/>
        <w:spacing w:after="0" w:line="360" w:lineRule="auto"/>
        <w:jc w:val="both"/>
        <w:rPr>
          <w:rFonts w:ascii="Times New Roman" w:hAnsi="Times New Roman"/>
          <w:sz w:val="28"/>
          <w:szCs w:val="28"/>
        </w:rPr>
      </w:pPr>
    </w:p>
    <w:p w:rsidR="00F7587C" w:rsidRPr="00BA321C" w:rsidRDefault="00F7587C" w:rsidP="00BA321C">
      <w:pPr>
        <w:shd w:val="clear" w:color="auto" w:fill="FFFFFF" w:themeFill="background1"/>
        <w:spacing w:after="0" w:line="360" w:lineRule="auto"/>
        <w:jc w:val="both"/>
        <w:rPr>
          <w:rFonts w:ascii="Times New Roman" w:hAnsi="Times New Roman"/>
          <w:sz w:val="28"/>
          <w:szCs w:val="28"/>
        </w:rPr>
      </w:pPr>
    </w:p>
    <w:p w:rsidR="00F7587C" w:rsidRPr="00BA321C" w:rsidRDefault="00F7587C" w:rsidP="00BA321C">
      <w:pPr>
        <w:shd w:val="clear" w:color="auto" w:fill="FFFFFF" w:themeFill="background1"/>
        <w:spacing w:after="0" w:line="360" w:lineRule="auto"/>
        <w:jc w:val="both"/>
        <w:rPr>
          <w:rFonts w:ascii="Times New Roman" w:hAnsi="Times New Roman"/>
          <w:sz w:val="28"/>
          <w:szCs w:val="28"/>
        </w:rPr>
      </w:pPr>
    </w:p>
    <w:p w:rsidR="00F7587C" w:rsidRPr="00BA321C" w:rsidRDefault="00F7587C" w:rsidP="00BA321C">
      <w:pPr>
        <w:shd w:val="clear" w:color="auto" w:fill="FFFFFF" w:themeFill="background1"/>
        <w:spacing w:after="0" w:line="360" w:lineRule="auto"/>
        <w:jc w:val="both"/>
        <w:rPr>
          <w:rFonts w:ascii="Times New Roman" w:hAnsi="Times New Roman"/>
          <w:sz w:val="28"/>
          <w:szCs w:val="28"/>
        </w:rPr>
      </w:pPr>
    </w:p>
    <w:p w:rsidR="00F7587C" w:rsidRPr="00BA321C" w:rsidRDefault="00F7587C"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675A9F" w:rsidRPr="00BA321C" w:rsidRDefault="00675A9F" w:rsidP="00BA321C">
      <w:pPr>
        <w:shd w:val="clear" w:color="auto" w:fill="FFFFFF" w:themeFill="background1"/>
        <w:spacing w:after="0" w:line="360" w:lineRule="auto"/>
        <w:jc w:val="both"/>
        <w:rPr>
          <w:rFonts w:ascii="Times New Roman" w:hAnsi="Times New Roman"/>
          <w:sz w:val="28"/>
          <w:szCs w:val="28"/>
        </w:rPr>
      </w:pPr>
    </w:p>
    <w:p w:rsidR="0089323C" w:rsidRPr="00BA321C" w:rsidRDefault="0089323C" w:rsidP="00C35E98">
      <w:pPr>
        <w:pStyle w:val="3"/>
        <w:jc w:val="right"/>
      </w:pPr>
      <w:bookmarkStart w:id="21" w:name="_Toc451869603"/>
      <w:r w:rsidRPr="00BA321C">
        <w:lastRenderedPageBreak/>
        <w:t xml:space="preserve">Приложение </w:t>
      </w:r>
      <w:bookmarkEnd w:id="18"/>
      <w:r w:rsidR="00585FF7" w:rsidRPr="00BA321C">
        <w:t>5</w:t>
      </w:r>
      <w:bookmarkEnd w:id="2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5"/>
        <w:gridCol w:w="3346"/>
        <w:gridCol w:w="961"/>
        <w:gridCol w:w="986"/>
        <w:gridCol w:w="986"/>
        <w:gridCol w:w="961"/>
      </w:tblGrid>
      <w:tr w:rsidR="00E53C41" w:rsidRPr="00BA321C" w:rsidTr="00D72D89">
        <w:tc>
          <w:tcPr>
            <w:tcW w:w="2966" w:type="pct"/>
            <w:gridSpan w:val="2"/>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034"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D72D89">
        <w:tc>
          <w:tcPr>
            <w:tcW w:w="2966" w:type="pct"/>
            <w:gridSpan w:val="2"/>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D72D89">
        <w:tc>
          <w:tcPr>
            <w:tcW w:w="296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1. Пермская область</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296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 xml:space="preserve">г.Пермь (центр. город) </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1092,4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1001,7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991,2</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г.Добрянка (завод)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36,4</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33,7</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г.Нытва (рай. центр) (завод)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21,9</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19,0</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г.Оханск (рай. центр)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порт в Воткинском водохранилище</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г.Чермез (завод)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5,9</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4,4</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3,9</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станция в 20-30 км друг от друга</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г.Кизел (посад)</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37,0</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19,6</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г.Александровск (копи) (завод + ж/д станция)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2,7</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16,2</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14,5</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станция</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г.Лысьва (завод)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77,0</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65,9</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 на север Губаха-Александровск</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г.Чусовой (Чусовской завод)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56,7</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46,7</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ж/д станция на северовосток в 80 км от г.Чусовой</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г.Горнозаводск (рай. центр) (буд. город) (Пашийские заводы)</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14,3</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12,1</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на автодороге Пермь-Ижевск</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г.Очер (завод) (рай. центр)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15,5</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14,2</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порт на Камском водохранилище (Ленва-солеварня)</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г.Березники (заводы+ж/д станция)</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202,1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173,1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156,5</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порт на Камском водохранилище в 60 км от Березников</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г.Соликамск (уездн.гор.)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110,1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102,5</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97,4</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паром Усолье-Березники</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г.Усолье (рай. центр) (посад)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г.Чердынь (уездн. гор.)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3,7</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 авто Екатеринбург-Пермь</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г.Кунгур (уездн. гор.)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14,3</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68,9</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66,1</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порт Воткинского вдхр.</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г.Оса (уездн. гор.)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23,9</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23,5</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21,2</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11 заводов, которые не стали городом</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г.Гремячинск</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20,5</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13,2</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г.Губаха ж/д узел</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37,1</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28,1</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игломерации г.Пермь</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г.Краснокамск</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58,0</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51,9</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порт на Воткинском вдхр.</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г.Чайковский</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85,7</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82,9</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станция</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г.Верещагино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23,4</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22,2</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г.Красновишерск (недалеко от г.Чердынь)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18,8</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16,1</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 Екатеринбург-Казань</w:t>
            </w: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г.Черушка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33,7</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33,3</w:t>
            </w:r>
          </w:p>
        </w:tc>
      </w:tr>
      <w:tr w:rsidR="00E53C41" w:rsidRPr="00BA321C" w:rsidTr="00D72D89">
        <w:tc>
          <w:tcPr>
            <w:tcW w:w="112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3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г.Кудымкар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33,6</w:t>
            </w:r>
          </w:p>
        </w:tc>
        <w:tc>
          <w:tcPr>
            <w:tcW w:w="5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31,9</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29,0</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0"/>
        <w:gridCol w:w="3383"/>
        <w:gridCol w:w="1396"/>
        <w:gridCol w:w="1248"/>
        <w:gridCol w:w="1248"/>
      </w:tblGrid>
      <w:tr w:rsidR="00E53C41" w:rsidRPr="00BA321C" w:rsidTr="009F5B51">
        <w:tc>
          <w:tcPr>
            <w:tcW w:w="291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9F5B51">
        <w:tc>
          <w:tcPr>
            <w:tcW w:w="291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Все городское поселение городов</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2125,8</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 поселков)</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1936,5</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 поселка)</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1854,2</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 поселка)</w:t>
            </w:r>
          </w:p>
        </w:tc>
      </w:tr>
      <w:tr w:rsidR="00E53C41" w:rsidRPr="00BA321C" w:rsidTr="009F5B51">
        <w:tc>
          <w:tcPr>
            <w:tcW w:w="291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265,5</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185,1</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131,2</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Новые Ляды</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Александровск</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Яйва</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11,7</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узел</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Углеуральский</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5,4</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Полазна</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11,4</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12,8</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Ильинский (рай. центр)</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Уральский</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8,9</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Октябрьский (рай. центр)</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Суксун (рай. центр)</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8,9</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8,5</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188,2</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61,4</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средний размер прочего пгт</w:t>
            </w: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3,9</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2391,3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2121,6</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1985,4</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700,2</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697,8</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659,2</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3091,5</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2819,4</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2644,6</w:t>
            </w:r>
          </w:p>
        </w:tc>
      </w:tr>
      <w:tr w:rsidR="00E53C41" w:rsidRPr="00BA321C" w:rsidTr="009F5B51">
        <w:tc>
          <w:tcPr>
            <w:tcW w:w="110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Доля городского населения</w:t>
            </w:r>
          </w:p>
        </w:tc>
        <w:tc>
          <w:tcPr>
            <w:tcW w:w="18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77,4%</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75,3%</w:t>
            </w:r>
          </w:p>
        </w:tc>
        <w:tc>
          <w:tcPr>
            <w:tcW w:w="66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75,1%</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Пермская расширенная «агломерация» (самый внешний пояс включает):</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Кунгур-Лысьва-Чусовой</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Куст, уходящий на Север от г.Чусового (о)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Горнозаводск-Гремячинск-Усьва-Губаха-Углеуральский-Кизел-Александровск-Яйва-Березники-Усолье-Соликамск</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(г.Пермь) свыше 990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45,7%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47,2%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2010г. – 49,8%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(г.Березники) от 100 тыс. до 205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8,5%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8,16%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5 городах (г.Чайковский, Кунгур, Лысьва, Чусовой, Краснокамск) от 45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15,0%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15,6%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15,8%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30,8%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lang w:val="en-US"/>
        </w:rPr>
      </w:pPr>
      <w:r w:rsidRPr="00BA321C">
        <w:rPr>
          <w:rFonts w:ascii="Times New Roman" w:hAnsi="Times New Roman"/>
          <w:sz w:val="28"/>
          <w:szCs w:val="28"/>
        </w:rPr>
        <w:t>в 2010г. – 26,4%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0"/>
        <w:gridCol w:w="14"/>
        <w:gridCol w:w="3336"/>
        <w:gridCol w:w="961"/>
        <w:gridCol w:w="447"/>
        <w:gridCol w:w="527"/>
        <w:gridCol w:w="721"/>
        <w:gridCol w:w="262"/>
        <w:gridCol w:w="987"/>
      </w:tblGrid>
      <w:tr w:rsidR="00E53C41" w:rsidRPr="00BA321C" w:rsidTr="00234BD7">
        <w:tc>
          <w:tcPr>
            <w:tcW w:w="2911" w:type="pct"/>
            <w:gridSpan w:val="3"/>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089" w:type="pct"/>
            <w:gridSpan w:val="6"/>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911" w:type="pct"/>
            <w:gridSpan w:val="3"/>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11" w:type="pct"/>
            <w:gridSpan w:val="3"/>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2. Кировская область</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2911" w:type="pct"/>
            <w:gridSpan w:val="3"/>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г.Киров (Вятка) (центр.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24,8</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477,8</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457,6</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473,7</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г.Кирово-Чепецк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3,2</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93,6</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90,3</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80,9</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 Киров – Нижний Новгород</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Котельная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35,8</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28,2</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25,0</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пересечение автомобильных дорог</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г.Советск (Кукарка) (рай. центр) (посад)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20,4</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18,2</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16,6</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ветка Яранск – Йошкар-Ола</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г.Яранск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20,4</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19,7</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17,3</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г.Нолинск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10,5</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г.Уржум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4,4</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12,0</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11,5</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г.Сосновка (будущий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15,3</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12,8</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12,0</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г.Малмыж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г.Омутнинск (Омутнинский завод)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29,3</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26,1</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23,6</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г.Кирс (посад) (Кирсинский завод)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4,0</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14,0</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11,8</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г.Слободской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39,3</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33,5</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34,0</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г.белая Холумица (завод)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13,3</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12,0</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Киров – Глазов – Пермь</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г.Зуевка (рай. центр)</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14,9</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12,6</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Киров – Юрья – Мураши – Луза – Котлас</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г.Луза (рай. центр)</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13,6</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12,3</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11,3</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Киров – Котлас</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г.Мураши (рай. центр)</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г.Орлов (Халтурин) (рай. центр)</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г.Вятские Поляны</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44,9</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40,3</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35,2</w:t>
            </w:r>
          </w:p>
        </w:tc>
      </w:tr>
      <w:tr w:rsidR="00E53C41" w:rsidRPr="00BA321C" w:rsidTr="00234BD7">
        <w:tc>
          <w:tcPr>
            <w:tcW w:w="111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Все городские население городов</w:t>
            </w:r>
          </w:p>
        </w:tc>
        <w:tc>
          <w:tcPr>
            <w:tcW w:w="1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2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835,4</w:t>
            </w:r>
          </w:p>
        </w:tc>
        <w:tc>
          <w:tcPr>
            <w:tcW w:w="52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823,0</w:t>
            </w:r>
          </w:p>
        </w:tc>
        <w:tc>
          <w:tcPr>
            <w:tcW w:w="52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804,3</w:t>
            </w:r>
          </w:p>
        </w:tc>
      </w:tr>
      <w:tr w:rsidR="00E53C41" w:rsidRPr="00BA321C" w:rsidTr="00234BD7">
        <w:tc>
          <w:tcPr>
            <w:tcW w:w="2911" w:type="pct"/>
            <w:gridSpan w:val="3"/>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11" w:type="pct"/>
            <w:gridSpan w:val="3"/>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Городское население пгт</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том числе:</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295,5</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 поселков)</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256,0</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(54 поселка)</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211,9</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 поселка)</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 xml:space="preserve">ж/д узел </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Лянгасово</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13,2</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13,0</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13,0</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 xml:space="preserve">ж/д узел </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Оричи (рай. центр)</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 xml:space="preserve">ж/д узел </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Вахруши</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12,0</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станция</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Юрья (рай. центр)</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14,9</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г.Киров</w:t>
            </w: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Радужный</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r>
      <w:tr w:rsidR="00E53C41" w:rsidRPr="00BA321C" w:rsidTr="00234BD7">
        <w:tc>
          <w:tcPr>
            <w:tcW w:w="1126"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785"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прочие пгт</w:t>
            </w:r>
          </w:p>
        </w:tc>
        <w:tc>
          <w:tcPr>
            <w:tcW w:w="75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235,7</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208,2</w:t>
            </w:r>
          </w:p>
        </w:tc>
        <w:tc>
          <w:tcPr>
            <w:tcW w:w="668"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165,7</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составлял: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4,4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4,2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4,48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1130,9</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1079,0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1016,2</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513,1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424,5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348,1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1644,0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1503,5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1364,3</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68,8%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71,8%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2010г. – 74,5%</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(г.Киров)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42,2%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42,4%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46,6%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(г.Кирово-Чепецк)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8,3%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8,4%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49,5%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49,2%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45,4%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lang w:val="en-US"/>
        </w:rPr>
      </w:pPr>
    </w:p>
    <w:p w:rsidR="00C2563A" w:rsidRPr="00BA321C" w:rsidRDefault="00C2563A" w:rsidP="00BA321C">
      <w:pPr>
        <w:shd w:val="clear" w:color="auto" w:fill="FFFFFF" w:themeFill="background1"/>
        <w:spacing w:after="0" w:line="360" w:lineRule="auto"/>
        <w:rPr>
          <w:rFonts w:ascii="Times New Roman" w:hAnsi="Times New Roman"/>
          <w:sz w:val="28"/>
          <w:szCs w:val="28"/>
          <w:lang w:val="en-US"/>
        </w:rPr>
      </w:pPr>
    </w:p>
    <w:p w:rsidR="00C2563A" w:rsidRPr="00BA321C" w:rsidRDefault="00C2563A" w:rsidP="00BA321C">
      <w:pPr>
        <w:shd w:val="clear" w:color="auto" w:fill="FFFFFF" w:themeFill="background1"/>
        <w:spacing w:after="0" w:line="360" w:lineRule="auto"/>
        <w:rPr>
          <w:rFonts w:ascii="Times New Roman" w:hAnsi="Times New Roman"/>
          <w:sz w:val="28"/>
          <w:szCs w:val="28"/>
          <w:lang w:val="en-US"/>
        </w:rPr>
      </w:pPr>
    </w:p>
    <w:p w:rsidR="00C2563A" w:rsidRPr="00BA321C" w:rsidRDefault="00C2563A"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7"/>
        <w:gridCol w:w="3414"/>
        <w:gridCol w:w="961"/>
        <w:gridCol w:w="961"/>
        <w:gridCol w:w="961"/>
        <w:gridCol w:w="961"/>
      </w:tblGrid>
      <w:tr w:rsidR="00E53C41" w:rsidRPr="00BA321C" w:rsidTr="00234BD7">
        <w:tc>
          <w:tcPr>
            <w:tcW w:w="2943" w:type="pct"/>
            <w:gridSpan w:val="2"/>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057"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943" w:type="pct"/>
            <w:gridSpan w:val="2"/>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4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3. Республика Удмуртия</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294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г.Ижевск (завод)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21,5</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634,7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632,1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627,7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г.Воткинск (завод)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21,0</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99,0</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г.Глазов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100,9</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95,9</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г.Сарапул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101,4</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г.Можка</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48,0</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г.Камбарка (рай. центр) (завод)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13,3</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12,6</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11,0</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1012</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935,5</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983,0</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1"/>
        <w:gridCol w:w="14"/>
        <w:gridCol w:w="2744"/>
        <w:gridCol w:w="56"/>
        <w:gridCol w:w="1340"/>
        <w:gridCol w:w="29"/>
        <w:gridCol w:w="1367"/>
        <w:gridCol w:w="1444"/>
      </w:tblGrid>
      <w:tr w:rsidR="00E53C41" w:rsidRPr="00BA321C" w:rsidTr="00D72D89">
        <w:tc>
          <w:tcPr>
            <w:tcW w:w="2787"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D72D89">
        <w:tc>
          <w:tcPr>
            <w:tcW w:w="2787"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127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51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107,8</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 поселков)</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98,8</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 поселков)</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69,1</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 поселков)</w:t>
            </w:r>
          </w:p>
        </w:tc>
      </w:tr>
      <w:tr w:rsidR="00E53C41" w:rsidRPr="00BA321C" w:rsidTr="00D72D89">
        <w:tc>
          <w:tcPr>
            <w:tcW w:w="127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51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Балезино (рай. центр)</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17,5</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16,8</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16,1</w:t>
            </w:r>
          </w:p>
        </w:tc>
      </w:tr>
      <w:tr w:rsidR="00E53C41" w:rsidRPr="00BA321C" w:rsidTr="00D72D89">
        <w:tc>
          <w:tcPr>
            <w:tcW w:w="127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51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Игра (рай. центр)</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22,2</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22,3</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20,7</w:t>
            </w:r>
          </w:p>
        </w:tc>
      </w:tr>
      <w:tr w:rsidR="00E53C41" w:rsidRPr="00BA321C" w:rsidTr="00D72D89">
        <w:tc>
          <w:tcPr>
            <w:tcW w:w="127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51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Кез (рай. центр)</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11,1 (сельское)</w:t>
            </w:r>
          </w:p>
        </w:tc>
      </w:tr>
      <w:tr w:rsidR="00E53C41" w:rsidRPr="00BA321C" w:rsidTr="00D72D89">
        <w:tc>
          <w:tcPr>
            <w:tcW w:w="129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lastRenderedPageBreak/>
              <w:t>ж/д</w:t>
            </w:r>
          </w:p>
        </w:tc>
        <w:tc>
          <w:tcPr>
            <w:tcW w:w="152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Кизнер (рай. центр)</w:t>
            </w:r>
          </w:p>
        </w:tc>
        <w:tc>
          <w:tcPr>
            <w:tcW w:w="71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7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 (сельское)</w:t>
            </w:r>
          </w:p>
        </w:tc>
      </w:tr>
      <w:tr w:rsidR="00E53C41" w:rsidRPr="00BA321C" w:rsidTr="00D72D89">
        <w:tc>
          <w:tcPr>
            <w:tcW w:w="129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52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Ува (рай. центр)</w:t>
            </w:r>
          </w:p>
        </w:tc>
        <w:tc>
          <w:tcPr>
            <w:tcW w:w="71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18,0</w:t>
            </w:r>
          </w:p>
        </w:tc>
        <w:tc>
          <w:tcPr>
            <w:tcW w:w="7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19,4</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w:t>
            </w:r>
          </w:p>
        </w:tc>
      </w:tr>
      <w:tr w:rsidR="00E53C41" w:rsidRPr="00BA321C" w:rsidTr="00D72D89">
        <w:tc>
          <w:tcPr>
            <w:tcW w:w="129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узел</w:t>
            </w:r>
          </w:p>
        </w:tc>
        <w:tc>
          <w:tcPr>
            <w:tcW w:w="152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Яр (рай. центр)</w:t>
            </w:r>
          </w:p>
        </w:tc>
        <w:tc>
          <w:tcPr>
            <w:tcW w:w="71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w:t>
            </w:r>
          </w:p>
        </w:tc>
        <w:tc>
          <w:tcPr>
            <w:tcW w:w="7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r>
      <w:tr w:rsidR="00E53C41" w:rsidRPr="00BA321C" w:rsidTr="00D72D89">
        <w:tc>
          <w:tcPr>
            <w:tcW w:w="129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52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15"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23,3</w:t>
            </w:r>
          </w:p>
        </w:tc>
        <w:tc>
          <w:tcPr>
            <w:tcW w:w="71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12,2</w:t>
            </w:r>
          </w:p>
        </w:tc>
        <w:tc>
          <w:tcPr>
            <w:tcW w:w="75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2,9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4,1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5,7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1119,8</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1094,0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1052,1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485,9</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476,0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469,3</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1605,7</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1570,0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1521,4</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69,7%</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69,7%</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69,15%</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(г.Ижевск) от 500 тыс. до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56,7%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57,8%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59,7%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3 городах (г.Сарапул, Воткинск, Глазов) от 95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28,4%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27,7%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28,16%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1989г. – 14,9%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14,5%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12,14%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9"/>
        <w:gridCol w:w="2332"/>
        <w:gridCol w:w="940"/>
        <w:gridCol w:w="1362"/>
        <w:gridCol w:w="1362"/>
        <w:gridCol w:w="940"/>
      </w:tblGrid>
      <w:tr w:rsidR="00E53C41" w:rsidRPr="00BA321C" w:rsidTr="00D72D89">
        <w:tc>
          <w:tcPr>
            <w:tcW w:w="2539" w:type="pct"/>
            <w:gridSpan w:val="2"/>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461"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D72D89">
        <w:tc>
          <w:tcPr>
            <w:tcW w:w="2539" w:type="pct"/>
            <w:gridSpan w:val="2"/>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D72D89">
        <w:tc>
          <w:tcPr>
            <w:tcW w:w="2539"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4. Республика Марий Эл</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2539"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г.Йошкар-Ола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241,5</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256,7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248,8</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г.Козьмодемьянск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24,4</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21,3</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г.Казань – Зеленодольск – Волжск</w:t>
            </w: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г.Волжск</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61,4</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59,0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55,7</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г.Звенигово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14,2</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11,9</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Городское население городов</w:t>
            </w: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341,5</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351,1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337,7</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Городское население пгт</w:t>
            </w: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том числе:</w:t>
            </w: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115,9 (19 поселков)</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108,6 (16 поселков)</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102,0</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микроагломерация г.Йошкар-Ола</w:t>
            </w: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Медведево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13,5</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16,8</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Морки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Мари-Турск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Новый Торъял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7,8</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Оршанка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Сернур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Советский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11,4</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Юрино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w:t>
            </w:r>
          </w:p>
        </w:tc>
      </w:tr>
      <w:tr w:rsidR="00E53C41" w:rsidRPr="00BA321C" w:rsidTr="00D72D89">
        <w:tc>
          <w:tcPr>
            <w:tcW w:w="129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249"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прочие пгт</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37,7</w:t>
            </w:r>
          </w:p>
        </w:tc>
        <w:tc>
          <w:tcPr>
            <w:tcW w:w="72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31,4</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34,0</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3,8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4,5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4,86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457,4</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459,7</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439,7</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292,1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268,3</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256,8</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749,5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728,0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696,5</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D72D89" w:rsidRPr="00BA321C" w:rsidRDefault="00D72D89"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61,0%</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63,0%</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2010г. – 63,1%</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(г.Йошкар-Ола) свыше 200 тыс. и менее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52,8%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55,8%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56,6%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(г.Волжск)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13,4%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12,8%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12,67%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33,8%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31,4%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30,73%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7"/>
        <w:gridCol w:w="3414"/>
        <w:gridCol w:w="961"/>
        <w:gridCol w:w="961"/>
        <w:gridCol w:w="961"/>
        <w:gridCol w:w="961"/>
      </w:tblGrid>
      <w:tr w:rsidR="00E53C41" w:rsidRPr="00BA321C" w:rsidTr="00234BD7">
        <w:tc>
          <w:tcPr>
            <w:tcW w:w="2943" w:type="pct"/>
            <w:gridSpan w:val="2"/>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057"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943" w:type="pct"/>
            <w:gridSpan w:val="2"/>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4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5. Республика Мордовия</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294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 Казань – Канаш</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г.Саранск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312,5</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304,9</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297,4</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узел</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г.Рузаевка (село) (будущий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г.Краснослободск (рай. центр) (уездн. город) (администрат. пункт – с.т.ш.)</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на Рязань</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г.Инсар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8,69</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г.Темников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Саранск – Алатырь – Канаш</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г.Ардатов (уездн. город) (рай. центр)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9,4</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на Рязань</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г.Ковылкино</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21,5</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21,9</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21,3</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27"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422,8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414,4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401,6</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2"/>
        <w:gridCol w:w="2735"/>
        <w:gridCol w:w="1396"/>
        <w:gridCol w:w="1396"/>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ind w:firstLine="41"/>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118,3</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 поселков)</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117,1</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 поселков)</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105,5</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 поселков)</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Луховка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Саранск – Алатырь</w:t>
            </w: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Атяшево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на Рязань</w:t>
            </w: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Зубова Поляна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Ромоданово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на Рязань</w:t>
            </w: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Торбеево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9,4</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9,37</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Саранск на Алатырь</w:t>
            </w: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Чамзинка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9,46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пгт Комсомольский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14,2</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48,1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35,6</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4,5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4,8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5,1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541,1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531,5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504,1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422,4</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357,3</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330,4</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963,5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888,8</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834,5</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56,2%</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2002г. – 59,8%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60,4%</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(г.Саранск) от 200 тыс. до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57,8%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57,4%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42,2%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42,6%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41,0%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7"/>
        <w:gridCol w:w="3414"/>
        <w:gridCol w:w="961"/>
        <w:gridCol w:w="961"/>
        <w:gridCol w:w="961"/>
        <w:gridCol w:w="961"/>
      </w:tblGrid>
      <w:tr w:rsidR="00E53C41" w:rsidRPr="00BA321C" w:rsidTr="007E5810">
        <w:tc>
          <w:tcPr>
            <w:tcW w:w="2992" w:type="pct"/>
            <w:gridSpan w:val="2"/>
            <w:vMerge w:val="restar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2008"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7E5810">
        <w:tc>
          <w:tcPr>
            <w:tcW w:w="2992" w:type="pct"/>
            <w:gridSpan w:val="2"/>
            <w:vMerge/>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7E5810">
        <w:tc>
          <w:tcPr>
            <w:tcW w:w="2992"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b/>
                <w:sz w:val="28"/>
                <w:szCs w:val="28"/>
              </w:rPr>
            </w:pPr>
            <w:r w:rsidRPr="00BA321C">
              <w:rPr>
                <w:rFonts w:ascii="Times New Roman" w:hAnsi="Times New Roman"/>
                <w:b/>
                <w:sz w:val="28"/>
                <w:szCs w:val="28"/>
              </w:rPr>
              <w:t>6. Чувашская Республика</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7E5810">
        <w:tc>
          <w:tcPr>
            <w:tcW w:w="2992" w:type="pct"/>
            <w:gridSpan w:val="2"/>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г.Чебоксары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420,1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440,6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453,7</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г.Марьинский посад (заштатный городок)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9,09</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пересечение автотрассы: «Чебоксары – Канаш»</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«Чебоксары – Казань»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г.Цивильск (уездн. город) (рай. центр)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13,48</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автотрасса Чебоксары – Москва</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Г.Ядрин (уездн. город) (рай. центр)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 Канаш – Саранск</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г.Алатырь (уездн.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46,5</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43,2</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38,2</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г.Канаш</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50,6</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45,6</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агломерация г.Чебоксары</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г.Новочебоксарск</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115,8</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125,9</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124,1</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ж/д</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г.Шумерля</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41,3</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36,2</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31,7</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г.Козловка (рай. центр)</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12,7</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13,1</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10,36</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Все городское население городов:</w:t>
            </w:r>
          </w:p>
        </w:tc>
        <w:tc>
          <w:tcPr>
            <w:tcW w:w="1851"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720,0</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743,5</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735,8</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2"/>
        <w:gridCol w:w="2735"/>
        <w:gridCol w:w="1396"/>
        <w:gridCol w:w="1396"/>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21,1</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 поселков)</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52,7</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 поселков)</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43,1</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 поселков)</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Вурнары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12,3 </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Урмары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г.Чебоксары</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Кугеси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15,42</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4,7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4,8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7,7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771,1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796,2</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778,9</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567,0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518,0</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515,7</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1338,1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1314,2</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1294,6</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57,6%</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60,6%</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60,2%</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(г.Чебоксары)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54,5%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55,3%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58,2%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(г.Новочебоксарск)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15,0%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15,8%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15,9%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до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23,6%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22,5%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25,9%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C2563A" w:rsidRPr="00BA321C" w:rsidRDefault="00C2563A"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4"/>
        <w:gridCol w:w="3401"/>
        <w:gridCol w:w="961"/>
        <w:gridCol w:w="961"/>
        <w:gridCol w:w="961"/>
        <w:gridCol w:w="987"/>
      </w:tblGrid>
      <w:tr w:rsidR="00E53C41" w:rsidRPr="00BA321C" w:rsidTr="00234BD7">
        <w:tc>
          <w:tcPr>
            <w:tcW w:w="2929" w:type="pct"/>
            <w:gridSpan w:val="2"/>
            <w:vMerge w:val="restar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2071" w:type="pct"/>
            <w:gridSpan w:val="4"/>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929" w:type="pct"/>
            <w:gridSpan w:val="2"/>
            <w:vMerge/>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b/>
                <w:sz w:val="28"/>
                <w:szCs w:val="28"/>
              </w:rPr>
            </w:pPr>
            <w:r w:rsidRPr="00BA321C">
              <w:rPr>
                <w:rFonts w:ascii="Times New Roman" w:hAnsi="Times New Roman"/>
                <w:b/>
                <w:sz w:val="28"/>
                <w:szCs w:val="28"/>
              </w:rPr>
              <w:t>7. Ульяновская область</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34BD7">
        <w:tc>
          <w:tcPr>
            <w:tcW w:w="2929"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г.Ульяновск (Симбирск) (центр.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43,3</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623,7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635,9</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614,79</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г.Сенгилей (уездн. город)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6,96</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г.Димитровград (посад) (исторический город)</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123,1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130,9</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122,58</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«Сызрань – Рузаевка – Рязань»</w:t>
            </w: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г.Барыш (рай. центр)</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17,15</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ж/д узел </w:t>
            </w: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г.Инза</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21,4</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20,3</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18,8</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г.Ульяновск</w:t>
            </w: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г.Новоульяновск</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16,9</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17,6</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16,0</w:t>
            </w:r>
          </w:p>
        </w:tc>
      </w:tr>
      <w:tr w:rsidR="00E53C41" w:rsidRPr="00BA321C" w:rsidTr="00C2563A">
        <w:tc>
          <w:tcPr>
            <w:tcW w:w="111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2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815,6</w:t>
            </w:r>
          </w:p>
        </w:tc>
        <w:tc>
          <w:tcPr>
            <w:tcW w:w="51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832,0</w:t>
            </w:r>
          </w:p>
        </w:tc>
        <w:tc>
          <w:tcPr>
            <w:tcW w:w="5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796,3</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8"/>
        <w:gridCol w:w="2760"/>
        <w:gridCol w:w="1370"/>
        <w:gridCol w:w="1371"/>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179,6</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(32 поселка)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179,6</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(32 поселка)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154,3</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(30 поселков)</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Ульяновск – Рузаевка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Вешкайма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Карсун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Кузоватово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Ульяновск – Рузаевка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Майна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Николаевка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Новоспасское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11,08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Павловка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Радищево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Старая Кулатка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Старая Майна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6,52</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Сурское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Тереньга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Ишеевка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Чердаклы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Базарный Сызган</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5,7</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45,3</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4,0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3,8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3,24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995,2</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1011,6</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950,6</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400,9</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371,2</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342,2</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1396,1</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1382,8</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1292,8</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71,3%</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73,2%</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73,5%</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(г.Ульяновск) от 500 тыс. до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62,7%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62,9%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64,7%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(г.Дмитровград)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12,4%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12,9%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12,9%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24,9%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24,2%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22,4%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p w:rsidR="0034592B" w:rsidRPr="00BA321C" w:rsidRDefault="0034592B"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32"/>
        <w:gridCol w:w="3372"/>
        <w:gridCol w:w="88"/>
        <w:gridCol w:w="938"/>
        <w:gridCol w:w="80"/>
        <w:gridCol w:w="970"/>
        <w:gridCol w:w="832"/>
        <w:gridCol w:w="933"/>
      </w:tblGrid>
      <w:tr w:rsidR="00E53C41" w:rsidRPr="00BA321C" w:rsidTr="007E5810">
        <w:tc>
          <w:tcPr>
            <w:tcW w:w="2992" w:type="pct"/>
            <w:gridSpan w:val="3"/>
            <w:vMerge w:val="restar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2008" w:type="pct"/>
            <w:gridSpan w:val="5"/>
            <w:shd w:val="clear" w:color="auto" w:fill="auto"/>
            <w:vAlign w:val="center"/>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7E5810">
        <w:tc>
          <w:tcPr>
            <w:tcW w:w="2992" w:type="pct"/>
            <w:gridSpan w:val="3"/>
            <w:vMerge/>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02" w:type="pct"/>
            <w:shd w:val="clear" w:color="auto" w:fill="auto"/>
          </w:tcPr>
          <w:p w:rsidR="0089323C" w:rsidRPr="00BA321C" w:rsidRDefault="00DE0652"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62"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7E5810">
        <w:tc>
          <w:tcPr>
            <w:tcW w:w="29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b/>
                <w:sz w:val="28"/>
                <w:szCs w:val="28"/>
              </w:rPr>
            </w:pPr>
            <w:r w:rsidRPr="00BA321C">
              <w:rPr>
                <w:rFonts w:ascii="Times New Roman" w:hAnsi="Times New Roman"/>
                <w:b/>
                <w:sz w:val="28"/>
                <w:szCs w:val="28"/>
              </w:rPr>
              <w:t>8. Пензенская область</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62"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7E5810">
        <w:tc>
          <w:tcPr>
            <w:tcW w:w="29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62"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5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г.Пенза (центр.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61,9</w:t>
            </w:r>
          </w:p>
        </w:tc>
        <w:tc>
          <w:tcPr>
            <w:tcW w:w="562"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538,5</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518,0</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517,3</w:t>
            </w:r>
          </w:p>
        </w:tc>
      </w:tr>
      <w:tr w:rsidR="00E53C41"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автотрасса Сызрань – Пенза</w:t>
            </w:r>
          </w:p>
        </w:tc>
        <w:tc>
          <w:tcPr>
            <w:tcW w:w="1851"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г.Городище (уездн. город) (рай. центр) (администрат. пункт)</w:t>
            </w:r>
          </w:p>
        </w:tc>
        <w:tc>
          <w:tcPr>
            <w:tcW w:w="5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4,0</w:t>
            </w:r>
          </w:p>
        </w:tc>
        <w:tc>
          <w:tcPr>
            <w:tcW w:w="562"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музей художественного стекла</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г.Никольск (село) (рай. центр) (будущий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26,8</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24,1</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22,47</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Сызрань</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г.Кузнецк (уездн. город)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20,6</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99,5</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92,1</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88,84</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Колышлей – Сердобск – Ртищево – Саратов – Балашов</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г.Сердобск (уездн. город)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12,7</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43,5</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37,7</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35,4</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Моршанск – Ряжск</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г.Каменка (ж/д станция)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39,6</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40,7</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39,58</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автотрасса Пенза – Рязань, ж/д Башмаково – Моршанск</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г.Нижний Ломов (уездн. город)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26,5</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24,2</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22,68</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lastRenderedPageBreak/>
              <w:t>автотрасса Пенза – Рязань</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г.Беднодемьяновск (уездн. город) (рай. центр) (Спасск Тамбовский) (Спасск в 2010г.)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7,6</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г.Белинский (уездн. город) (рай. центр) (исторический город)</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8,8</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8,57</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г.Сурск</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ЗАТО (агломерация г.Пенза)</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г.Заречный</w:t>
            </w: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63,0</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63,0</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63,6</w:t>
            </w:r>
          </w:p>
        </w:tc>
      </w:tr>
      <w:tr w:rsidR="00234BD7" w:rsidRPr="00BA321C" w:rsidTr="007E5810">
        <w:tc>
          <w:tcPr>
            <w:tcW w:w="114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04"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92"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w:t>
            </w:r>
          </w:p>
        </w:tc>
        <w:tc>
          <w:tcPr>
            <w:tcW w:w="51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872,7</w:t>
            </w:r>
          </w:p>
        </w:tc>
        <w:tc>
          <w:tcPr>
            <w:tcW w:w="44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832,5</w:t>
            </w:r>
          </w:p>
        </w:tc>
        <w:tc>
          <w:tcPr>
            <w:tcW w:w="499"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820,9</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2"/>
        <w:gridCol w:w="2735"/>
        <w:gridCol w:w="1396"/>
        <w:gridCol w:w="1396"/>
        <w:gridCol w:w="1396"/>
      </w:tblGrid>
      <w:tr w:rsidR="00E53C41" w:rsidRPr="00BA321C" w:rsidTr="007E581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7E581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117,9</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 поселков)</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112,7</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 поселков)</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109,1</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 поселков)</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Моршанск – Ряжск</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Башмаково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Беково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6,94</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Сызрань</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Чаадаевка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7,6</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Заметчино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10,77</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Ртищево – Саратов – Балашов</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Колышлей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Рузаевка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Лунино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8,3</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7,91</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автотрасса Пенза – Рязань</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Мокшан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11,6</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Пенза – Моршанск – Ряжск</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Пачелма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Саратов – Кирсанов – Тамбов</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Тамала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7,48</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Шемышейка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tabs>
                <w:tab w:val="center" w:pos="671"/>
                <w:tab w:val="left" w:pos="1252"/>
              </w:tabs>
              <w:spacing w:after="0" w:line="360" w:lineRule="auto"/>
              <w:jc w:val="center"/>
              <w:rPr>
                <w:rFonts w:ascii="Times New Roman" w:hAnsi="Times New Roman"/>
                <w:sz w:val="28"/>
                <w:szCs w:val="28"/>
              </w:rPr>
            </w:pPr>
            <w:r w:rsidRPr="00BA321C">
              <w:rPr>
                <w:rFonts w:ascii="Times New Roman" w:hAnsi="Times New Roman"/>
                <w:sz w:val="28"/>
                <w:szCs w:val="28"/>
              </w:rPr>
              <w:t>18,4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17,2</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23,5</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3,7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3,4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3,9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990,6</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945,2</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930,0</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577,0</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507,7</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456,1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1567,6</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1452,9</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1386,1</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Удельный вес городского населения равнялся: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1989г. – 63,2%</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65,1%</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67,1%</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(г.Пенза) от 500 тыс. до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54,4%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54,8%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55,6%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 городах (г.Кузнецк, Заречный)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16,4%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16,4%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16,4%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29,2%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28,8%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28,0%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8"/>
        <w:gridCol w:w="3306"/>
        <w:gridCol w:w="969"/>
        <w:gridCol w:w="994"/>
        <w:gridCol w:w="994"/>
        <w:gridCol w:w="994"/>
      </w:tblGrid>
      <w:tr w:rsidR="00E53C41" w:rsidRPr="00BA321C" w:rsidTr="00234BD7">
        <w:tc>
          <w:tcPr>
            <w:tcW w:w="2886"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114" w:type="pct"/>
            <w:gridSpan w:val="4"/>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886"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9. Нижегородская область</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г.Нижний Новгород (центр.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95,1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1434,7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1311,3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1250,6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г.Бор (пристань)</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61,5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78,06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г.Балахна (уездн. город, включая пгт Правдинск)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38,1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51,5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г.Городец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30,66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Нижний Новгород – Киров</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г.Семенов (уездн. город) (рай. центр)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г.Павлово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71,3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г.Ворема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г.Горбатов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2,28</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г.Выкса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61,4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61,7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56,2</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г.Кулебаки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45,6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39,1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35,76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г.Арзамас (центр.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108,4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109,4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106,36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автомагистраль Казань – Нижний Новгород – Москва</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г.Лысково (пристань)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21,88</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г.Княгинино (уездн. город) (рай. центр) (административный пункт)</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г.Сергач (уездн. город) (рай. центр) (административный пункт)</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21,39</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г.Ветлуга (уездн.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8,95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Нижний Новгород – Киров</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г.Урель (посад)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0,5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12,3</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г.Дзержинск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285,4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261,3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240,7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г.Кегово</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66,9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66,66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г.Заволжье</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40,46</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Нижний Новгород – Владимир</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г.Володарск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9,9</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г.Лукоянов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14,95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г.Навашино (посад)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16,4</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г.Первомайск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14,57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г.Чкаловск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12,37</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ж/д узел</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г.Шахунья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20,9</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г.Саров</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87,7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87,7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92,0</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Казань – Москва</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г.Перевоз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9,2</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г.Богородск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35,5</w:t>
            </w:r>
          </w:p>
        </w:tc>
      </w:tr>
      <w:tr w:rsidR="00E53C41" w:rsidRPr="00BA321C" w:rsidTr="00234BD7">
        <w:tc>
          <w:tcPr>
            <w:tcW w:w="111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76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2630,4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2452,7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2353,1</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1"/>
        <w:gridCol w:w="31"/>
        <w:gridCol w:w="2703"/>
        <w:gridCol w:w="64"/>
        <w:gridCol w:w="1333"/>
        <w:gridCol w:w="43"/>
        <w:gridCol w:w="1353"/>
        <w:gridCol w:w="23"/>
        <w:gridCol w:w="1374"/>
      </w:tblGrid>
      <w:tr w:rsidR="00E53C41" w:rsidRPr="00BA321C" w:rsidTr="00504864">
        <w:tc>
          <w:tcPr>
            <w:tcW w:w="2759"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504864">
        <w:tc>
          <w:tcPr>
            <w:tcW w:w="2759" w:type="pct"/>
            <w:gridSpan w:val="3"/>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318,4</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 поселков)</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302,3</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 поселков)</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258,2</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(59 поселков)</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Ардатов</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9,3</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10,1</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9,57</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Большое Мурамкино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5,55</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Казань – Москва</w:t>
            </w: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Бутурлино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Вача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Вознесенское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6,78</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автомагистраль Казань – Нижний Новгород – Москва</w:t>
            </w: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Воротынец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6,45</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Воскресенское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Ковернино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Красные Баки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ж/д </w:t>
            </w: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Пильпа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7,9</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Сосновское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8,7</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Тонкино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5,5</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w:t>
            </w:r>
          </w:p>
        </w:tc>
      </w:tr>
      <w:tr w:rsidR="00E53C41" w:rsidRPr="00BA321C" w:rsidTr="00504864">
        <w:tc>
          <w:tcPr>
            <w:tcW w:w="129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6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Шаранга (рай. центр)</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6,4</w:t>
            </w:r>
          </w:p>
        </w:tc>
        <w:tc>
          <w:tcPr>
            <w:tcW w:w="747"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6,56</w:t>
            </w:r>
          </w:p>
        </w:tc>
      </w:tr>
      <w:tr w:rsidR="00E53C41" w:rsidRPr="00BA321C" w:rsidTr="00287240">
        <w:tc>
          <w:tcPr>
            <w:tcW w:w="131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 Арзамас – Лукоянов – Саранск – Рузаевка</w:t>
            </w:r>
          </w:p>
        </w:tc>
        <w:tc>
          <w:tcPr>
            <w:tcW w:w="1480"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Шатки (рай. центр)</w:t>
            </w:r>
          </w:p>
        </w:tc>
        <w:tc>
          <w:tcPr>
            <w:tcW w:w="73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9,65</w:t>
            </w:r>
          </w:p>
        </w:tc>
      </w:tr>
      <w:tr w:rsidR="00E53C41" w:rsidRPr="00BA321C" w:rsidTr="00287240">
        <w:tc>
          <w:tcPr>
            <w:tcW w:w="131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215,7</w:t>
            </w:r>
          </w:p>
        </w:tc>
        <w:tc>
          <w:tcPr>
            <w:tcW w:w="736"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159,7</w:t>
            </w:r>
          </w:p>
        </w:tc>
      </w:tr>
    </w:tbl>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4,1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3,6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3,55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948,8</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2755,0</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2611,3</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859,3</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769,0</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699,1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3808,1</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3524,0</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3310,4</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1989г. – 77,4%</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78,2%</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78,9%</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(г.Нижний Новгород) свыше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48,7%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47,6%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47,9%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(г.Дзержинск)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9,7%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9,5%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9,2%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(г.Арзамас)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4,07%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6 городах (гг.Бор, Балахна, Кстово, Саров, Павлово, Выкса)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14,0%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14,5%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15,5%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23,9%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24,4%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23,3%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Агломерацию г.Нижний Новгород образуют:</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гг.Нижний Новгород, Дзержинск, Бор, Кстово, Балахна, Заволжье, Городец, Богородск – города общей численностью 1794,14 тыс. человек или 68,7% постоянного населения Нижегородской области.</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Другой агломерационный «каркас» гораздо меньших размеров образуют гг.Арзамас, Саров, Первомайск и пгт Шатки, Ардатов. Здесь проживало в 2010г. 232,15 тыс. человек или 8,9% постоянного населения области.</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234BD7" w:rsidRPr="00BA321C" w:rsidRDefault="00234BD7"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2"/>
        <w:gridCol w:w="3362"/>
        <w:gridCol w:w="969"/>
        <w:gridCol w:w="994"/>
        <w:gridCol w:w="994"/>
        <w:gridCol w:w="994"/>
      </w:tblGrid>
      <w:tr w:rsidR="00E53C41" w:rsidRPr="00BA321C" w:rsidTr="007E5810">
        <w:tc>
          <w:tcPr>
            <w:tcW w:w="2953"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047" w:type="pct"/>
            <w:gridSpan w:val="4"/>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7E5810">
        <w:tc>
          <w:tcPr>
            <w:tcW w:w="2953"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02"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7E5810">
        <w:tc>
          <w:tcPr>
            <w:tcW w:w="2953"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10. Самарская область</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7E5810">
        <w:tc>
          <w:tcPr>
            <w:tcW w:w="2953"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г.Самара (центр.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91,7</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1257,3</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1157,9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1164,7</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г.Тольятти (Ставрополь)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629,3</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702,9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719,6</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узел </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г.Сызрань (уездн. город) (исторический город)</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32,4</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181,9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188,1</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178,75</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станция агломерация г.Самара</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г.Кинель (будущий город)</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14,4</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32,3</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34,4</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34,5</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г.Сызрань</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г.Октябрьск (посад +село) (будущий город)</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9,0</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27,4</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25,3</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27,2</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г.Тольятти</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г.Жигулевск</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44,9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48,8</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55,57</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г.Новокуйбышевск</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112,5</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113,0</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108,4</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г.Отрадный</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48,9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50,0</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48,36</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г.Похвистнево</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27,7</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28,0</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28,17</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г.Чапаевск</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98,1</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73,9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72,7</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г.Нефтегорск</w:t>
            </w: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19,4</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19,25</w:t>
            </w:r>
          </w:p>
        </w:tc>
      </w:tr>
      <w:tr w:rsidR="00E53C41" w:rsidRPr="00BA321C" w:rsidTr="007E5810">
        <w:tc>
          <w:tcPr>
            <w:tcW w:w="112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2479,2</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2441,7</w:t>
            </w:r>
          </w:p>
        </w:tc>
        <w:tc>
          <w:tcPr>
            <w:tcW w:w="51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2457,2</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8"/>
        <w:gridCol w:w="2760"/>
        <w:gridCol w:w="1370"/>
        <w:gridCol w:w="1371"/>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168,4</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 поселка)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170,0</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 поселка)</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142,83</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 поселков)</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Прибрежный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Алексеевка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Усть-Кипельский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Поволжский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ж/д </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Безенчук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ЗАТО</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Рощинский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Волжский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Мирный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7,3</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Новосемейкино</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Смышляевка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13,4</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tabs>
                <w:tab w:val="center" w:pos="671"/>
                <w:tab w:val="left" w:pos="1252"/>
              </w:tabs>
              <w:spacing w:after="0" w:line="360" w:lineRule="auto"/>
              <w:jc w:val="center"/>
              <w:rPr>
                <w:rFonts w:ascii="Times New Roman" w:hAnsi="Times New Roman"/>
                <w:sz w:val="28"/>
                <w:szCs w:val="28"/>
              </w:rPr>
            </w:pPr>
            <w:r w:rsidRPr="00BA321C">
              <w:rPr>
                <w:rFonts w:ascii="Times New Roman" w:hAnsi="Times New Roman"/>
                <w:sz w:val="28"/>
                <w:szCs w:val="28"/>
              </w:rPr>
              <w:t>48,7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41,7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36,15</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4,1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3,2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6,0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2647,6</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2611,7</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2600,1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628,2</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628,1</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635,9</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3275,8</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3239,8</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3236,0</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80,8%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80,6%</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80,3%</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(г.Самара) свыше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47,5%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44,3%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44,8%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(г.Тольятти) свыше 500 тыс. и менее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23,8%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26,9%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27,68%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 городах (гг.Сызрань, Новокуйбышевск)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11,1%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11,5%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11,0%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(г.Чапаевск)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13,9%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14,5%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11,55% постоянного населения</w:t>
      </w: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1"/>
        <w:gridCol w:w="3329"/>
        <w:gridCol w:w="969"/>
        <w:gridCol w:w="994"/>
        <w:gridCol w:w="64"/>
        <w:gridCol w:w="962"/>
        <w:gridCol w:w="32"/>
        <w:gridCol w:w="27"/>
        <w:gridCol w:w="967"/>
      </w:tblGrid>
      <w:tr w:rsidR="00E53C41" w:rsidRPr="00BA321C" w:rsidTr="007E5810">
        <w:tc>
          <w:tcPr>
            <w:tcW w:w="2885"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115" w:type="pct"/>
            <w:gridSpan w:val="7"/>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7E5810">
        <w:tc>
          <w:tcPr>
            <w:tcW w:w="2885"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2"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2" w:type="pct"/>
            <w:gridSpan w:val="3"/>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7E5810">
        <w:tc>
          <w:tcPr>
            <w:tcW w:w="288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11. Республика Татарстан</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gridSpan w:val="3"/>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7E5810">
        <w:tc>
          <w:tcPr>
            <w:tcW w:w="288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gridSpan w:val="3"/>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504864">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г.Казань (центр.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131,5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1085,3</w:t>
            </w:r>
          </w:p>
        </w:tc>
        <w:tc>
          <w:tcPr>
            <w:tcW w:w="532"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1105,3</w:t>
            </w:r>
          </w:p>
        </w:tc>
        <w:tc>
          <w:tcPr>
            <w:tcW w:w="532" w:type="pct"/>
            <w:gridSpan w:val="3"/>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1143,5</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Набережные Челны – Нижнекамск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г.Набережные Челны (пристань)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505,0</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502,9</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513,2</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Набережные Челны – Нижнекамск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г.Елабуга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54,4</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68,7</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70,7</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г.Заинск (посад)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36,6</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71,1</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41,8</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г.Мензелинск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15,5</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16,7</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16,48</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г.Мамадыш (уездн. город) (рай. центр)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11,6</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13,5</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14,4</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Альметьевск – Бугульма – Лениногорск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г.Альметьевск (село) (будущий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129,9</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151,0</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146,4</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агломерация Альметьевск – </w:t>
            </w:r>
            <w:r w:rsidRPr="00BA321C">
              <w:rPr>
                <w:rFonts w:ascii="Times New Roman" w:hAnsi="Times New Roman"/>
                <w:sz w:val="28"/>
                <w:szCs w:val="28"/>
              </w:rPr>
              <w:lastRenderedPageBreak/>
              <w:t>Бугульма – Лениногорск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г.Бугульма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89,9</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93,0</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89,2</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г.Чистополь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65,3</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63,0</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60,76</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г.Болгар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8,0</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8,7</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8,65</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г.Буинск (уездн. город) (рай. центр)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16,7</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19,7</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20,35</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г.Тетюши (уездн. город)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11,9</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11,6</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г.Азнакаево</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32,1</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35,4</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34,85</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г.Казань</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г.Зеленодольск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94,9</w:t>
            </w:r>
          </w:p>
        </w:tc>
        <w:tc>
          <w:tcPr>
            <w:tcW w:w="563" w:type="pct"/>
            <w:gridSpan w:val="4"/>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100,1</w:t>
            </w:r>
          </w:p>
        </w:tc>
        <w:tc>
          <w:tcPr>
            <w:tcW w:w="501"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97,67</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Альметьевск – Бугульма – Лениногорск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г.Лениногорск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61,9</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65,6</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64,1</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Набережные Челны – Нижнекамск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г.Нижнекамск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192,5</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225,4</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234,0</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г.Агрыз (посад)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19,4</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18,6</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19,3</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г.Бавлы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22,9</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22,1</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агломерация Набережные </w:t>
            </w:r>
            <w:r w:rsidRPr="00BA321C">
              <w:rPr>
                <w:rFonts w:ascii="Times New Roman" w:hAnsi="Times New Roman"/>
                <w:sz w:val="28"/>
                <w:szCs w:val="28"/>
              </w:rPr>
              <w:lastRenderedPageBreak/>
              <w:t>Челны – Нижнекамск</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г.Менделеевск (рай. центр) (посад)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18,2</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22,0</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22,1</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г.Нурлат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23,4</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32,5</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32,6</w:t>
            </w:r>
          </w:p>
        </w:tc>
      </w:tr>
      <w:tr w:rsidR="00E53C41" w:rsidRPr="00BA321C" w:rsidTr="007E5810">
        <w:tc>
          <w:tcPr>
            <w:tcW w:w="108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79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6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2491,0</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2625,0</w:t>
            </w:r>
          </w:p>
        </w:tc>
        <w:tc>
          <w:tcPr>
            <w:tcW w:w="515"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2663,8</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9"/>
        <w:gridCol w:w="2752"/>
        <w:gridCol w:w="1362"/>
        <w:gridCol w:w="1396"/>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163,8</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 поселка)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165,7</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 поселков)</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189,5</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 поселков)</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Нижняя Мактама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Актюбинский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Аксубаево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Алексеевское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г.Казань</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Арск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17,2</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агломерация г.Казань</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Васильево</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16,95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Кукмор (рай. центр) (посад)</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16,9</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Лаишево</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Камские Поляны</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15,8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Джалиль</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13,94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Уруссу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11,3</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736" w:type="pct"/>
            <w:shd w:val="clear" w:color="auto" w:fill="auto"/>
          </w:tcPr>
          <w:p w:rsidR="0089323C" w:rsidRPr="00BA321C" w:rsidRDefault="0089323C" w:rsidP="00BA321C">
            <w:pPr>
              <w:shd w:val="clear" w:color="auto" w:fill="FFFFFF" w:themeFill="background1"/>
              <w:tabs>
                <w:tab w:val="center" w:pos="671"/>
                <w:tab w:val="left" w:pos="1252"/>
              </w:tabs>
              <w:spacing w:after="0" w:line="360" w:lineRule="auto"/>
              <w:jc w:val="center"/>
              <w:rPr>
                <w:rFonts w:ascii="Times New Roman" w:hAnsi="Times New Roman"/>
                <w:sz w:val="28"/>
                <w:szCs w:val="28"/>
              </w:rPr>
            </w:pPr>
            <w:r w:rsidRPr="00BA321C">
              <w:rPr>
                <w:rFonts w:ascii="Times New Roman" w:hAnsi="Times New Roman"/>
                <w:sz w:val="28"/>
                <w:szCs w:val="28"/>
              </w:rPr>
              <w:t>44,3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26,4</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49,1</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3,4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2,9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4,9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2654,8</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2790,7</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2853,3</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987,0</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988,6</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932,8</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3641,8</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3779,3</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3786,1</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78,9%</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73,8%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75,36%</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(г.Казань) свыше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40,9%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39,6%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40,1%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(г.Набережные Челны) свыше 500 тыс. и менее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18,3%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18,0%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(г.Нижнекамск)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0,0%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8,1%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2010г. – 8,2%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То есть в 2010г. в 3 крупнейших городах Республики Татарстан проживало 66,3%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 городах (гг.Альметьевск, Зеленодольск) от 97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12,1%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8,55%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4 городах (гг.Елабуга, Бугульма, Чистополь, Лениногорск)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10,5%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10,4%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10,0%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14,2%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14,6%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15,20%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504864" w:rsidRPr="00BA321C" w:rsidRDefault="00504864"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p w:rsidR="007E5810" w:rsidRPr="00BA321C" w:rsidRDefault="007E5810" w:rsidP="00BA321C">
      <w:pPr>
        <w:shd w:val="clear" w:color="auto" w:fill="FFFFFF" w:themeFill="background1"/>
        <w:spacing w:after="0" w:line="360" w:lineRule="auto"/>
        <w:rPr>
          <w:rFonts w:ascii="Times New Roman" w:hAnsi="Times New Roman"/>
          <w:sz w:val="28"/>
          <w:szCs w:val="28"/>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3"/>
        <w:gridCol w:w="3321"/>
        <w:gridCol w:w="969"/>
        <w:gridCol w:w="994"/>
        <w:gridCol w:w="994"/>
        <w:gridCol w:w="994"/>
      </w:tblGrid>
      <w:tr w:rsidR="00E53C41" w:rsidRPr="00BA321C" w:rsidTr="00234BD7">
        <w:tc>
          <w:tcPr>
            <w:tcW w:w="2886"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114" w:type="pct"/>
            <w:gridSpan w:val="4"/>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886"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12. Республика Башкортостан</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г.Уфа (центр.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1079,8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1042,4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1062,3</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г.Бирск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40,0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41,6</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г.Уфы</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г.Благовещенск (завод) (будущий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33,0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34,2</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г.Белебей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52,9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60,2</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пром. узел</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г.Стерлитамак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247,7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264,4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273,5</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г.Дюртюли (село) (будущий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52,5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30,0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31,3</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станция Уфа – Магнитогорск</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г.Белорецк (завод)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72,7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71,1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68,8</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агломерация г.Стерлитамака</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г.Ишимбай</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62,26</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на Стерлитамак</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г.Кумертау</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63,6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65,0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62,85</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на Стерлитамак</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г.Мелеуз</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53,1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61,4</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г.Нефтекамск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108,1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122,3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121,7</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г.Октябрьский</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104,5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108,6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109,5</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ж/д агломерация Стерлитамака</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г.Салават</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150,8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158,6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156,1</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на Магнитогорск</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г.Сибай</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59,1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62,76</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г.Туймазы</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58,4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66,7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66,8</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г.Учалы</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37,8</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ориентирован на «пром. узел» Сибай</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г.Баймак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17,7</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г.Давлеканово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24,1</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г.Агидель</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16,37</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ЗАТО</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г.Межгорье</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17,35</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г.Янаул (рай. центр)</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26,9</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2327,3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2399,2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2419,5</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496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7"/>
        <w:gridCol w:w="3183"/>
        <w:gridCol w:w="1012"/>
        <w:gridCol w:w="966"/>
        <w:gridCol w:w="2342"/>
      </w:tblGrid>
      <w:tr w:rsidR="00E53C41" w:rsidRPr="00BA321C" w:rsidTr="00287240">
        <w:tc>
          <w:tcPr>
            <w:tcW w:w="2670"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670"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213,4</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227,4</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42,1</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Приютово</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19,3</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20,8</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20,9</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Кандры</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10,8</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12,1</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10,9</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Серафимовский</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9,8</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Раевский (рай. центр)</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17,0</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19,56</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курорт</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Красноусольский (рай. центр)</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10,3</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11,8</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село – 12,0 </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lastRenderedPageBreak/>
              <w:t>ж/д узел</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Чишмы (рай. центр)</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18,6</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21,0</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21,2</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ЗАТО</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Алкино-2</w:t>
            </w: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5,0</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5,0</w:t>
            </w:r>
          </w:p>
        </w:tc>
      </w:tr>
      <w:tr w:rsidR="00E53C41" w:rsidRPr="00BA321C" w:rsidTr="00287240">
        <w:tc>
          <w:tcPr>
            <w:tcW w:w="95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1717"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54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109,8</w:t>
            </w:r>
          </w:p>
        </w:tc>
        <w:tc>
          <w:tcPr>
            <w:tcW w:w="521"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112,5</w:t>
            </w:r>
          </w:p>
        </w:tc>
        <w:tc>
          <w:tcPr>
            <w:tcW w:w="126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все прочие пгт преобразованы в села</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3,5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4,0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0,0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2540,7</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2626,6</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2461,6</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1426,5</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1477,7</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1610,6</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3967,2</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4104,3</w:t>
            </w:r>
          </w:p>
        </w:tc>
        <w:tc>
          <w:tcPr>
            <w:tcW w:w="535" w:type="pct"/>
            <w:shd w:val="clear" w:color="auto" w:fill="auto"/>
          </w:tcPr>
          <w:p w:rsidR="0089323C" w:rsidRPr="00BA321C" w:rsidRDefault="0089323C" w:rsidP="00BA321C">
            <w:pPr>
              <w:shd w:val="clear" w:color="auto" w:fill="FFFFFF" w:themeFill="background1"/>
              <w:spacing w:after="0" w:line="360" w:lineRule="auto"/>
              <w:ind w:hanging="10"/>
              <w:jc w:val="center"/>
              <w:rPr>
                <w:rFonts w:ascii="Times New Roman" w:hAnsi="Times New Roman"/>
                <w:sz w:val="28"/>
                <w:szCs w:val="28"/>
              </w:rPr>
            </w:pPr>
            <w:r w:rsidRPr="00BA321C">
              <w:rPr>
                <w:rFonts w:ascii="Times New Roman" w:hAnsi="Times New Roman"/>
                <w:sz w:val="28"/>
                <w:szCs w:val="28"/>
              </w:rPr>
              <w:t>4072,2</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64,0%</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64,0%</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60,45%</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(г.Уфа)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42,5%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39,7%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43,15%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(г.Стерлитамак)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9,7%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10,1%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11,1%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3 городах (гг.Салават, Нефтекамск, Октябрьский)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12,1%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2002г. – 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8,55%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14,6% постоянного населения (6 городов)</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17,4% постоянного населения (7 городов)</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18,2% постоянного населения (7 городов: гг.Белебей, Белорецк, Ишимбай, Кумертау, Мелеуз, Сибай, Туймазы)</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18,9%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18,0%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11,76%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3"/>
        <w:gridCol w:w="3321"/>
        <w:gridCol w:w="969"/>
        <w:gridCol w:w="994"/>
        <w:gridCol w:w="994"/>
        <w:gridCol w:w="994"/>
      </w:tblGrid>
      <w:tr w:rsidR="00E53C41" w:rsidRPr="00BA321C" w:rsidTr="00234BD7">
        <w:tc>
          <w:tcPr>
            <w:tcW w:w="2886"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114" w:type="pct"/>
            <w:gridSpan w:val="4"/>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886"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13. Оренбургская область</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2886"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г.Оренбург (центр.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72,7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544,2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549,4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548,3</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станция-узел</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г.Бузулук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82,8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87,3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82,9</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г.Сорочинск (село)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30,1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29,2</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г.Соль-Илецк (заштатн.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11,8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28,4</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 пром. узел в районе Орско-Халиловского месторождения</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г.Орск (уездн. город) (исторический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271,4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250,9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239,8</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г.Бугуруслан (уездн. город)</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53,4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53,9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49,7</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г.Абдулино (село + ж/д станция)</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20,2</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курорт</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г.Гай</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42,2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38,3</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г.Кувандык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26,17</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пром. узел в районе Орско-Халиловского месторождения</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г.Медногорск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33,4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27,3</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ж/д узел</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г.Новотроицк</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106,3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98,2</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г.Ясный</w:t>
            </w: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17,36</w:t>
            </w:r>
          </w:p>
        </w:tc>
      </w:tr>
      <w:tr w:rsidR="00E53C41" w:rsidRPr="00BA321C" w:rsidTr="00234BD7">
        <w:tc>
          <w:tcPr>
            <w:tcW w:w="110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77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1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1259,6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1246,5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1205,8</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3"/>
        <w:gridCol w:w="2766"/>
        <w:gridCol w:w="1376"/>
        <w:gridCol w:w="1376"/>
        <w:gridCol w:w="1374"/>
      </w:tblGrid>
      <w:tr w:rsidR="00E53C41" w:rsidRPr="00BA321C" w:rsidTr="006E3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6E3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147,0 </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(23 поселка)</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13,6</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 поселка)</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8,06</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 поселок)</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Адамовка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 xml:space="preserve">ж/д </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Акбулак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12,9</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14,8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Домбровский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Новоорск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11,3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Энергетик</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Новосергиевка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13,3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Первомайский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Переволоцкий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9,7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Саракташ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17,5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Светлый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9,0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Тюльган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 (село)</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w:t>
            </w:r>
          </w:p>
        </w:tc>
      </w:tr>
      <w:tr w:rsidR="00E53C41" w:rsidRPr="00BA321C" w:rsidTr="006E3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28,1</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8,06</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2,3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3,4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8,06 тыс. чел.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4"/>
        <w:gridCol w:w="1069"/>
        <w:gridCol w:w="986"/>
        <w:gridCol w:w="1126"/>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1406,6</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1260,1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1213,86</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764,1</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919,4</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819,1</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2170,7</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2179,5</w:t>
            </w:r>
          </w:p>
        </w:tc>
        <w:tc>
          <w:tcPr>
            <w:tcW w:w="5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2033,0</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64,8%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57,8%</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59,7%</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(г.Оренбург) свыше 500 тыс. и менее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38,7%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43,6%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45,17%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(г.Орск) от 200 тыс. до 500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19,3%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19,9%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19,8%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(г.Новотроицк) от 100 тыс. до 200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7,54%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в 2002г. – 8,44%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8,1%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Таким образом, если в 1989г. в этих трех городах проживало 65,54% постоянного населения Оренбургской области, то в 2010г. – уже 73,07%, причем, главным образом, за счет все большей концентрации городского населения в г.Оренбурге</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от 49-50 тыс. до 100 тыс. человек (гг.Бузулук, Бугуруслан)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9,7%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11,2%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10,9%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24,8%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16,9%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16,1%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6E3240" w:rsidRPr="00BA321C" w:rsidRDefault="006E3240"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p w:rsidR="0034592B" w:rsidRPr="00BA321C" w:rsidRDefault="0034592B" w:rsidP="00BA321C">
      <w:pPr>
        <w:shd w:val="clear" w:color="auto" w:fill="FFFFFF" w:themeFill="background1"/>
        <w:spacing w:after="0" w:line="360" w:lineRule="auto"/>
        <w:rPr>
          <w:rFonts w:ascii="Times New Roman" w:hAnsi="Times New Roman"/>
          <w:sz w:val="28"/>
          <w:szCs w:val="28"/>
        </w:rPr>
      </w:pPr>
    </w:p>
    <w:p w:rsidR="00504864" w:rsidRPr="00BA321C" w:rsidRDefault="00504864"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1"/>
        <w:gridCol w:w="3418"/>
        <w:gridCol w:w="854"/>
        <w:gridCol w:w="994"/>
        <w:gridCol w:w="994"/>
        <w:gridCol w:w="994"/>
      </w:tblGrid>
      <w:tr w:rsidR="00E53C41" w:rsidRPr="00BA321C" w:rsidTr="00234BD7">
        <w:tc>
          <w:tcPr>
            <w:tcW w:w="2948" w:type="pct"/>
            <w:gridSpan w:val="2"/>
            <w:vMerge w:val="restar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2052" w:type="pct"/>
            <w:gridSpan w:val="4"/>
            <w:shd w:val="clear" w:color="auto" w:fill="auto"/>
            <w:vAlign w:val="center"/>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тысяч человек</w:t>
            </w:r>
          </w:p>
        </w:tc>
      </w:tr>
      <w:tr w:rsidR="00E53C41" w:rsidRPr="00BA321C" w:rsidTr="00234BD7">
        <w:tc>
          <w:tcPr>
            <w:tcW w:w="2948" w:type="pct"/>
            <w:gridSpan w:val="2"/>
            <w:vMerge/>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457" w:type="pct"/>
            <w:shd w:val="clear" w:color="auto" w:fill="auto"/>
          </w:tcPr>
          <w:p w:rsidR="0089323C" w:rsidRPr="00BA321C" w:rsidRDefault="00DE0652"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1897</w:t>
            </w:r>
            <w:r w:rsidR="0089323C"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34BD7">
        <w:tc>
          <w:tcPr>
            <w:tcW w:w="2948"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b/>
                <w:sz w:val="28"/>
                <w:szCs w:val="28"/>
              </w:rPr>
            </w:pPr>
            <w:r w:rsidRPr="00BA321C">
              <w:rPr>
                <w:rFonts w:ascii="Times New Roman" w:hAnsi="Times New Roman"/>
                <w:b/>
                <w:sz w:val="28"/>
                <w:szCs w:val="28"/>
              </w:rPr>
              <w:t>14. Саратовская область</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2948" w:type="pct"/>
            <w:gridSpan w:val="2"/>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 Городское населения городов</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г.Саратов</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137,1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902,3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873,1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837,9</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г.Энгельс</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182,0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202,4</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г.Аткарск</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25,6</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 линий Саратов – Тамбов; Пенза – Поворино – Воронеж»</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г.Балашов</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95,2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98,3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82,2</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г.Вольск</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27,0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65,4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71,1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66,5</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 узел</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г.Пугачев</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40,9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41,7</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г.Ртищево</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42,6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44,2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41,3</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г.Хвалынск</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13,1</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г.Маркс</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32,8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31,5</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г.Балаково</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199,3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199,7</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г.Красноармейск</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24,36</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г.Петровск</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34,0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31,16</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г.Шиханы (микроагломерация г.Вольска)</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6,7</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6,07</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г.Аркадак (рай. центр)</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12,85</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узел «Саратов – Самара» «Саратов – </w:t>
            </w:r>
            <w:r w:rsidRPr="00BA321C">
              <w:rPr>
                <w:rFonts w:ascii="Times New Roman" w:hAnsi="Times New Roman"/>
                <w:sz w:val="28"/>
                <w:szCs w:val="28"/>
              </w:rPr>
              <w:lastRenderedPageBreak/>
              <w:t>Оренбург – Уральск»</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lastRenderedPageBreak/>
              <w:t>г.Ершов (рай. центр)</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24,1</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23,8</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21,4</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г.Калининск (рай. центр)</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7,2</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19,0</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16,4</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 xml:space="preserve">ж/д узел </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г.Красный Кут (рай. центр)</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3,5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17,4</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15,3</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14,4</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ж/д</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г.Новоузенск (рай. центр)</w:t>
            </w: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13,5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16,9</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17,0</w:t>
            </w:r>
          </w:p>
        </w:tc>
      </w:tr>
      <w:tr w:rsidR="00E53C41" w:rsidRPr="00BA321C" w:rsidTr="00234BD7">
        <w:tc>
          <w:tcPr>
            <w:tcW w:w="111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Все городское население городов:</w:t>
            </w:r>
          </w:p>
        </w:tc>
        <w:tc>
          <w:tcPr>
            <w:tcW w:w="1829"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457"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1764,6</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1752,5</w:t>
            </w:r>
          </w:p>
        </w:tc>
        <w:tc>
          <w:tcPr>
            <w:tcW w:w="53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1685,4</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9"/>
        <w:gridCol w:w="2752"/>
        <w:gridCol w:w="1362"/>
        <w:gridCol w:w="1396"/>
        <w:gridCol w:w="1396"/>
      </w:tblGrid>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1989г.</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2002г.</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2793" w:type="pct"/>
            <w:gridSpan w:val="2"/>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Городское население пгт</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244,8</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(31 поселок)</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241,9</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(30 поселков)</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193,9</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(27 поселков)</w:t>
            </w:r>
          </w:p>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в том числе:</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Приволжский (агломерация Саратов-Энгельс)</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29,3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32,1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34,36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Александров Гай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9,7</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Базарный Карабулак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Дергачи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10,2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8,28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Духовницкое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5,34</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lastRenderedPageBreak/>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Екатериновка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6,36</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автотрасса «Пугачев – Самара»</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Ивантеевка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6,2</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село – 6,1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Горный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Лысые Горы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Новые Бурасы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5,87</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Озинки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9,25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Ровное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5,6</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5,3</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4,5</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Романовка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7,7</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7,27</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Самойловка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8,6</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7,58</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Степное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14,0</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14,1</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13,1</w:t>
            </w:r>
          </w:p>
        </w:tc>
      </w:tr>
      <w:tr w:rsidR="00E53C41" w:rsidRPr="00BA321C" w:rsidTr="0028724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Татищево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16,4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7,5</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Турки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7,4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6,9</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6,1</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Мокроус (рай. центр)</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6,5</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6,7</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ЗАТО ж/д</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пгт Светлый</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12,3</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12,3</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12,5</w:t>
            </w:r>
          </w:p>
        </w:tc>
      </w:tr>
      <w:tr w:rsidR="00E53C41" w:rsidRPr="00BA321C" w:rsidTr="007E5810">
        <w:tc>
          <w:tcPr>
            <w:tcW w:w="1313"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прочие пгт</w:t>
            </w:r>
          </w:p>
        </w:tc>
        <w:tc>
          <w:tcPr>
            <w:tcW w:w="1480"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55,4</w:t>
            </w:r>
          </w:p>
        </w:tc>
        <w:tc>
          <w:tcPr>
            <w:tcW w:w="736"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60,8</w:t>
            </w:r>
          </w:p>
        </w:tc>
        <w:tc>
          <w:tcPr>
            <w:tcW w:w="735" w:type="pct"/>
            <w:shd w:val="clear" w:color="auto" w:fill="auto"/>
          </w:tcPr>
          <w:p w:rsidR="0089323C" w:rsidRPr="00BA321C" w:rsidRDefault="0089323C" w:rsidP="00BA321C">
            <w:pPr>
              <w:shd w:val="clear" w:color="auto" w:fill="FFFFFF" w:themeFill="background1"/>
              <w:spacing w:after="0" w:line="360" w:lineRule="auto"/>
              <w:jc w:val="center"/>
              <w:rPr>
                <w:rFonts w:ascii="Times New Roman" w:hAnsi="Times New Roman"/>
                <w:sz w:val="28"/>
                <w:szCs w:val="28"/>
              </w:rPr>
            </w:pPr>
            <w:r w:rsidRPr="00BA321C">
              <w:rPr>
                <w:rFonts w:ascii="Times New Roman" w:hAnsi="Times New Roman"/>
                <w:sz w:val="28"/>
                <w:szCs w:val="28"/>
              </w:rPr>
              <w:t>36,83</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7E5810" w:rsidRPr="00BA321C" w:rsidRDefault="007E5810"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Средний размер поселков «прочие пгт» составил: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4,0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5,5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3,68 тыс. чел.</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количество прочих пгт – 10 ед.</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Общее количество прочих пгт:</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1989г. – 19</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2002г. – 19</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2010г. – 17</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0"/>
        <w:gridCol w:w="1125"/>
        <w:gridCol w:w="1000"/>
        <w:gridCol w:w="1000"/>
      </w:tblGrid>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1989г.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2002г.</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2010г.</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 Все городское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2009,4</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1994,4</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1879,4</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С. Сельское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689,0</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704,5</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642,3</w:t>
            </w:r>
          </w:p>
        </w:tc>
      </w:tr>
      <w:tr w:rsidR="00E53C41" w:rsidRPr="00BA321C" w:rsidTr="00287240">
        <w:tc>
          <w:tcPr>
            <w:tcW w:w="3328"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АВС. Все постоянное население</w:t>
            </w:r>
          </w:p>
        </w:tc>
        <w:tc>
          <w:tcPr>
            <w:tcW w:w="602"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2698,4</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2698,9</w:t>
            </w:r>
          </w:p>
        </w:tc>
        <w:tc>
          <w:tcPr>
            <w:tcW w:w="535" w:type="pct"/>
            <w:shd w:val="clear" w:color="auto" w:fill="auto"/>
          </w:tcPr>
          <w:p w:rsidR="0089323C" w:rsidRPr="00BA321C" w:rsidRDefault="0089323C" w:rsidP="00BA321C">
            <w:pPr>
              <w:shd w:val="clear" w:color="auto" w:fill="FFFFFF" w:themeFill="background1"/>
              <w:spacing w:after="0" w:line="360" w:lineRule="auto"/>
              <w:ind w:firstLine="8"/>
              <w:jc w:val="center"/>
              <w:rPr>
                <w:rFonts w:ascii="Times New Roman" w:hAnsi="Times New Roman"/>
                <w:sz w:val="28"/>
                <w:szCs w:val="28"/>
              </w:rPr>
            </w:pPr>
            <w:r w:rsidRPr="00BA321C">
              <w:rPr>
                <w:rFonts w:ascii="Times New Roman" w:hAnsi="Times New Roman"/>
                <w:sz w:val="28"/>
                <w:szCs w:val="28"/>
              </w:rPr>
              <w:t>2521,7</w:t>
            </w:r>
          </w:p>
        </w:tc>
      </w:tr>
    </w:tbl>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Доля городского населения равнялась:</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74,4%</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73,9%</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74,5%</w:t>
      </w:r>
    </w:p>
    <w:p w:rsidR="0089323C" w:rsidRPr="00BA321C" w:rsidRDefault="0089323C" w:rsidP="00BA321C">
      <w:pPr>
        <w:shd w:val="clear" w:color="auto" w:fill="FFFFFF" w:themeFill="background1"/>
        <w:spacing w:after="0" w:line="360" w:lineRule="auto"/>
        <w:rPr>
          <w:rFonts w:ascii="Times New Roman" w:hAnsi="Times New Roman"/>
          <w:sz w:val="28"/>
          <w:szCs w:val="28"/>
        </w:rPr>
      </w:pP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 городе (г.Саратов) от 500 тыс. до 1 млн.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44,9%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43,8%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44,6%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 городах (гг.Энгельск, Балаково) от 100 тыс. до 205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19,0%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19,8%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21,4%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lastRenderedPageBreak/>
        <w:t>То есть в 2010г. 66% постоянного населения проживало в 3 крупных городах Саратовской области.</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от 50 тыс. до 100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8,0%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8,5%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7,9%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городах и пгт менее 50 тыс. человек проживало:</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1989г. – 28,1% постоянного населения</w:t>
      </w:r>
    </w:p>
    <w:p w:rsidR="0089323C" w:rsidRPr="00BA321C"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2002г. – 27,9% постоянного населения</w:t>
      </w:r>
    </w:p>
    <w:p w:rsidR="0089323C" w:rsidRPr="000B0066" w:rsidRDefault="0089323C" w:rsidP="00BA321C">
      <w:pPr>
        <w:shd w:val="clear" w:color="auto" w:fill="FFFFFF" w:themeFill="background1"/>
        <w:spacing w:after="0" w:line="360" w:lineRule="auto"/>
        <w:rPr>
          <w:rFonts w:ascii="Times New Roman" w:hAnsi="Times New Roman"/>
          <w:sz w:val="28"/>
          <w:szCs w:val="28"/>
        </w:rPr>
      </w:pPr>
      <w:r w:rsidRPr="00BA321C">
        <w:rPr>
          <w:rFonts w:ascii="Times New Roman" w:hAnsi="Times New Roman"/>
          <w:sz w:val="28"/>
          <w:szCs w:val="28"/>
        </w:rPr>
        <w:t>в 2010г. – 26,1% постоянного населения</w:t>
      </w:r>
    </w:p>
    <w:p w:rsidR="0089323C" w:rsidRPr="000B0066" w:rsidRDefault="0089323C" w:rsidP="00BA321C">
      <w:pPr>
        <w:shd w:val="clear" w:color="auto" w:fill="FFFFFF" w:themeFill="background1"/>
        <w:spacing w:after="0" w:line="360" w:lineRule="auto"/>
        <w:rPr>
          <w:rFonts w:ascii="Times New Roman" w:hAnsi="Times New Roman"/>
          <w:sz w:val="28"/>
          <w:szCs w:val="28"/>
        </w:rPr>
      </w:pPr>
    </w:p>
    <w:p w:rsidR="0089323C" w:rsidRPr="000B0066" w:rsidRDefault="0089323C" w:rsidP="00BA321C">
      <w:pPr>
        <w:shd w:val="clear" w:color="auto" w:fill="FFFFFF" w:themeFill="background1"/>
        <w:spacing w:after="0" w:line="360" w:lineRule="auto"/>
        <w:jc w:val="both"/>
        <w:rPr>
          <w:rFonts w:ascii="Times New Roman" w:hAnsi="Times New Roman"/>
          <w:sz w:val="28"/>
          <w:szCs w:val="28"/>
        </w:rPr>
      </w:pPr>
    </w:p>
    <w:sectPr w:rsidR="0089323C" w:rsidRPr="000B00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3BAA" w:rsidRDefault="00B13BAA" w:rsidP="0089323C">
      <w:pPr>
        <w:spacing w:after="0" w:line="240" w:lineRule="auto"/>
      </w:pPr>
      <w:r>
        <w:separator/>
      </w:r>
    </w:p>
  </w:endnote>
  <w:endnote w:type="continuationSeparator" w:id="0">
    <w:p w:rsidR="00B13BAA" w:rsidRDefault="00B13BAA" w:rsidP="008932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3BAA" w:rsidRDefault="00B13BAA" w:rsidP="0089323C">
      <w:pPr>
        <w:spacing w:after="0" w:line="240" w:lineRule="auto"/>
      </w:pPr>
      <w:r>
        <w:separator/>
      </w:r>
    </w:p>
  </w:footnote>
  <w:footnote w:type="continuationSeparator" w:id="0">
    <w:p w:rsidR="00B13BAA" w:rsidRDefault="00B13BAA" w:rsidP="0089323C">
      <w:pPr>
        <w:spacing w:after="0" w:line="240" w:lineRule="auto"/>
      </w:pPr>
      <w:r>
        <w:continuationSeparator/>
      </w:r>
    </w:p>
  </w:footnote>
  <w:footnote w:id="1">
    <w:p w:rsidR="005A0B95" w:rsidRPr="000934E9" w:rsidRDefault="005A0B95" w:rsidP="000934E9">
      <w:pPr>
        <w:pStyle w:val="aa"/>
        <w:jc w:val="both"/>
        <w:rPr>
          <w:rFonts w:ascii="Times New Roman" w:hAnsi="Times New Roman"/>
          <w:sz w:val="18"/>
        </w:rPr>
      </w:pPr>
      <w:r>
        <w:rPr>
          <w:rStyle w:val="ac"/>
        </w:rPr>
        <w:footnoteRef/>
      </w:r>
      <w:r>
        <w:t xml:space="preserve"> </w:t>
      </w:r>
      <w:r w:rsidRPr="000934E9">
        <w:rPr>
          <w:rFonts w:ascii="Times New Roman" w:hAnsi="Times New Roman"/>
          <w:color w:val="252525"/>
          <w:szCs w:val="21"/>
          <w:shd w:val="clear" w:color="auto" w:fill="FFFFFF"/>
        </w:rPr>
        <w:t>8 сентября 2014 года по предложению Председателя Правительства России Д. А. Медведева, в целях оптимизации органов исполнительной власти упразднено Указом Президента Российской Федерации Владимира Путина</w:t>
      </w:r>
    </w:p>
  </w:footnote>
  <w:footnote w:id="2">
    <w:p w:rsidR="005A0B95" w:rsidRPr="00603F53" w:rsidRDefault="005A0B95" w:rsidP="008578A8">
      <w:pPr>
        <w:pStyle w:val="aa"/>
      </w:pPr>
      <w:r w:rsidRPr="00603F53">
        <w:rPr>
          <w:rStyle w:val="ac"/>
        </w:rPr>
        <w:footnoteRef/>
      </w:r>
      <w:r w:rsidRPr="00603F53">
        <w:t xml:space="preserve"> Основы экономики – Часть1, под ред. Матвеева Ю.В., Семенова Г.В., Матвеева К.Ю. – С</w:t>
      </w:r>
      <w:r>
        <w:t>а</w:t>
      </w:r>
      <w:r w:rsidRPr="00603F53">
        <w:t>мара: Изд-во Самарского государственного экономического университета. – 2010, с.156.</w:t>
      </w:r>
    </w:p>
  </w:footnote>
  <w:footnote w:id="3">
    <w:p w:rsidR="005A0B95" w:rsidRDefault="005A0B95" w:rsidP="008578A8">
      <w:pPr>
        <w:pStyle w:val="aa"/>
      </w:pPr>
      <w:r>
        <w:rPr>
          <w:rStyle w:val="ac"/>
        </w:rPr>
        <w:footnoteRef/>
      </w:r>
      <w:r>
        <w:t xml:space="preserve"> </w:t>
      </w:r>
      <w:r w:rsidRPr="00FB572D">
        <w:t>Парамонов В. Россия в 1941-1945гг.: проблемы индустриального развития. – Самара, Изд-во «Самарский университет</w:t>
      </w:r>
      <w:r>
        <w:t>», 1999г., с.229</w:t>
      </w:r>
      <w:r w:rsidRPr="00FB572D">
        <w:t>.</w:t>
      </w:r>
    </w:p>
  </w:footnote>
  <w:footnote w:id="4">
    <w:p w:rsidR="005A0B95" w:rsidRPr="00D95EE6" w:rsidRDefault="005A0B95" w:rsidP="008578A8">
      <w:pPr>
        <w:pStyle w:val="aa"/>
      </w:pPr>
      <w:r>
        <w:rPr>
          <w:rStyle w:val="ac"/>
        </w:rPr>
        <w:footnoteRef/>
      </w:r>
      <w:r>
        <w:t xml:space="preserve"> </w:t>
      </w:r>
      <w:r w:rsidRPr="00D95EE6">
        <w:t>Указ.соч., с.229.</w:t>
      </w:r>
    </w:p>
  </w:footnote>
  <w:footnote w:id="5">
    <w:p w:rsidR="005A0B95" w:rsidRDefault="005A0B95" w:rsidP="008578A8">
      <w:pPr>
        <w:pStyle w:val="aa"/>
      </w:pPr>
      <w:r>
        <w:rPr>
          <w:rStyle w:val="ac"/>
        </w:rPr>
        <w:footnoteRef/>
      </w:r>
      <w:r>
        <w:t xml:space="preserve"> </w:t>
      </w:r>
      <w:r w:rsidRPr="00D95EE6">
        <w:t>Указ.соч., с.</w:t>
      </w:r>
      <w:r>
        <w:t>230</w:t>
      </w:r>
      <w:r w:rsidRPr="00D95EE6">
        <w:t>.</w:t>
      </w:r>
    </w:p>
  </w:footnote>
  <w:footnote w:id="6">
    <w:p w:rsidR="005A0B95" w:rsidRDefault="005A0B95" w:rsidP="008578A8">
      <w:pPr>
        <w:pStyle w:val="aa"/>
      </w:pPr>
      <w:r>
        <w:rPr>
          <w:rStyle w:val="ac"/>
        </w:rPr>
        <w:footnoteRef/>
      </w:r>
      <w:r>
        <w:t xml:space="preserve"> </w:t>
      </w:r>
      <w:r w:rsidRPr="00FB572D">
        <w:t>Парамонов В. Россия в 1941-1945гг.: проблемы индустриального развития. – Самара, Изд-во «Самарский университет</w:t>
      </w:r>
      <w:r>
        <w:t>», 1999г., с.230</w:t>
      </w:r>
      <w:r w:rsidRPr="00FB572D">
        <w:t>.</w:t>
      </w:r>
    </w:p>
  </w:footnote>
  <w:footnote w:id="7">
    <w:p w:rsidR="005A0B95" w:rsidRDefault="005A0B95" w:rsidP="008578A8">
      <w:pPr>
        <w:pStyle w:val="aa"/>
      </w:pPr>
      <w:r>
        <w:rPr>
          <w:rStyle w:val="ac"/>
        </w:rPr>
        <w:footnoteRef/>
      </w:r>
      <w:r>
        <w:t xml:space="preserve"> </w:t>
      </w:r>
      <w:r w:rsidRPr="00D95EE6">
        <w:t>Указ.соч., с.</w:t>
      </w:r>
      <w:r>
        <w:t>244-245.</w:t>
      </w:r>
    </w:p>
  </w:footnote>
  <w:footnote w:id="8">
    <w:p w:rsidR="005A0B95" w:rsidRDefault="005A0B95" w:rsidP="008578A8">
      <w:pPr>
        <w:pStyle w:val="aa"/>
      </w:pPr>
      <w:r>
        <w:rPr>
          <w:rStyle w:val="ac"/>
        </w:rPr>
        <w:footnoteRef/>
      </w:r>
      <w:r>
        <w:t xml:space="preserve"> </w:t>
      </w:r>
      <w:r w:rsidRPr="00D95EE6">
        <w:t>Указ.соч., с.</w:t>
      </w:r>
      <w:r>
        <w:t>245.</w:t>
      </w:r>
    </w:p>
  </w:footnote>
  <w:footnote w:id="9">
    <w:p w:rsidR="005A0B95" w:rsidRDefault="005A0B95" w:rsidP="008578A8">
      <w:pPr>
        <w:pStyle w:val="aa"/>
      </w:pPr>
      <w:r>
        <w:rPr>
          <w:rStyle w:val="ac"/>
        </w:rPr>
        <w:footnoteRef/>
      </w:r>
      <w:r>
        <w:t xml:space="preserve"> </w:t>
      </w:r>
      <w:r w:rsidRPr="00FB572D">
        <w:t>Парамонов В. Россия в 1941-1945гг.: проблемы индустриального развития. – Самара, Изд-во «Самарский университет</w:t>
      </w:r>
      <w:r>
        <w:t>», 1999г., с.258</w:t>
      </w:r>
      <w:r w:rsidRPr="00FB572D">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0B95" w:rsidRDefault="005A0B95" w:rsidP="007E35C2">
    <w:pPr>
      <w:pStyle w:val="ad"/>
      <w:jc w:val="right"/>
    </w:pPr>
    <w:r>
      <w:fldChar w:fldCharType="begin"/>
    </w:r>
    <w:r>
      <w:instrText>PAGE   \* MERGEFORMAT</w:instrText>
    </w:r>
    <w:r>
      <w:fldChar w:fldCharType="separate"/>
    </w:r>
    <w:r w:rsidR="008739BE">
      <w:rPr>
        <w:noProof/>
      </w:rPr>
      <w:t>117</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hybridMultilevel"/>
    <w:tmpl w:val="00000002"/>
    <w:lvl w:ilvl="0" w:tplc="000F424A">
      <w:start w:val="1"/>
      <w:numFmt w:val="bullet"/>
      <w:lvlText w:val="*"/>
      <w:lvlJc w:val="left"/>
      <w:rPr>
        <w:sz w:val="14"/>
        <w:szCs w:val="14"/>
      </w:rPr>
    </w:lvl>
    <w:lvl w:ilvl="1" w:tplc="000F424B">
      <w:start w:val="1"/>
      <w:numFmt w:val="bullet"/>
      <w:lvlText w:val="*"/>
      <w:lvlJc w:val="left"/>
      <w:rPr>
        <w:sz w:val="14"/>
        <w:szCs w:val="14"/>
      </w:rPr>
    </w:lvl>
    <w:lvl w:ilvl="2" w:tplc="000F424C">
      <w:start w:val="1"/>
      <w:numFmt w:val="bullet"/>
      <w:lvlText w:val="*"/>
      <w:lvlJc w:val="left"/>
      <w:rPr>
        <w:sz w:val="14"/>
        <w:szCs w:val="14"/>
      </w:rPr>
    </w:lvl>
    <w:lvl w:ilvl="3" w:tplc="000F424D">
      <w:start w:val="1"/>
      <w:numFmt w:val="bullet"/>
      <w:lvlText w:val="*"/>
      <w:lvlJc w:val="left"/>
      <w:rPr>
        <w:sz w:val="14"/>
        <w:szCs w:val="14"/>
      </w:rPr>
    </w:lvl>
    <w:lvl w:ilvl="4" w:tplc="000F424E">
      <w:start w:val="1"/>
      <w:numFmt w:val="bullet"/>
      <w:lvlText w:val="*"/>
      <w:lvlJc w:val="left"/>
      <w:rPr>
        <w:sz w:val="14"/>
        <w:szCs w:val="14"/>
      </w:rPr>
    </w:lvl>
    <w:lvl w:ilvl="5" w:tplc="000F424F">
      <w:start w:val="1"/>
      <w:numFmt w:val="bullet"/>
      <w:lvlText w:val="*"/>
      <w:lvlJc w:val="left"/>
      <w:rPr>
        <w:sz w:val="14"/>
        <w:szCs w:val="14"/>
      </w:rPr>
    </w:lvl>
    <w:lvl w:ilvl="6" w:tplc="000F4250">
      <w:start w:val="1"/>
      <w:numFmt w:val="bullet"/>
      <w:lvlText w:val="*"/>
      <w:lvlJc w:val="left"/>
      <w:rPr>
        <w:sz w:val="14"/>
        <w:szCs w:val="14"/>
      </w:rPr>
    </w:lvl>
    <w:lvl w:ilvl="7" w:tplc="000F4251">
      <w:start w:val="1"/>
      <w:numFmt w:val="bullet"/>
      <w:lvlText w:val="*"/>
      <w:lvlJc w:val="left"/>
      <w:rPr>
        <w:sz w:val="14"/>
        <w:szCs w:val="14"/>
      </w:rPr>
    </w:lvl>
    <w:lvl w:ilvl="8" w:tplc="000F4252">
      <w:start w:val="1"/>
      <w:numFmt w:val="bullet"/>
      <w:lvlText w:val="*"/>
      <w:lvlJc w:val="left"/>
      <w:rPr>
        <w:sz w:val="14"/>
        <w:szCs w:val="14"/>
      </w:rPr>
    </w:lvl>
  </w:abstractNum>
  <w:abstractNum w:abstractNumId="1" w15:restartNumberingAfterBreak="0">
    <w:nsid w:val="01136064"/>
    <w:multiLevelType w:val="hybridMultilevel"/>
    <w:tmpl w:val="92BEF54E"/>
    <w:lvl w:ilvl="0" w:tplc="16E6DCFE">
      <w:start w:val="1"/>
      <w:numFmt w:val="upperRoman"/>
      <w:lvlText w:val="%1."/>
      <w:lvlJc w:val="left"/>
      <w:pPr>
        <w:ind w:left="1429" w:hanging="72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15:restartNumberingAfterBreak="0">
    <w:nsid w:val="017F106D"/>
    <w:multiLevelType w:val="hybridMultilevel"/>
    <w:tmpl w:val="768AEE84"/>
    <w:lvl w:ilvl="0" w:tplc="78EC5AE4">
      <w:numFmt w:val="bullet"/>
      <w:lvlText w:val=""/>
      <w:lvlJc w:val="left"/>
      <w:pPr>
        <w:ind w:left="927" w:hanging="360"/>
      </w:pPr>
      <w:rPr>
        <w:rFonts w:ascii="Symbol" w:eastAsia="Calibr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1CC23BB"/>
    <w:multiLevelType w:val="hybridMultilevel"/>
    <w:tmpl w:val="21F8A69C"/>
    <w:lvl w:ilvl="0" w:tplc="F182A2C0">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 w15:restartNumberingAfterBreak="0">
    <w:nsid w:val="033403E3"/>
    <w:multiLevelType w:val="hybridMultilevel"/>
    <w:tmpl w:val="8E9A2FA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33D5B40"/>
    <w:multiLevelType w:val="hybridMultilevel"/>
    <w:tmpl w:val="A0382572"/>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 w15:restartNumberingAfterBreak="0">
    <w:nsid w:val="054B4376"/>
    <w:multiLevelType w:val="hybridMultilevel"/>
    <w:tmpl w:val="FB3610CA"/>
    <w:lvl w:ilvl="0" w:tplc="9610860C">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7" w15:restartNumberingAfterBreak="0">
    <w:nsid w:val="08A67FD0"/>
    <w:multiLevelType w:val="hybridMultilevel"/>
    <w:tmpl w:val="8E42F2C2"/>
    <w:lvl w:ilvl="0" w:tplc="D9705ED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15:restartNumberingAfterBreak="0">
    <w:nsid w:val="0B15501D"/>
    <w:multiLevelType w:val="hybridMultilevel"/>
    <w:tmpl w:val="6902E0EC"/>
    <w:lvl w:ilvl="0" w:tplc="4E80F46C">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9" w15:restartNumberingAfterBreak="0">
    <w:nsid w:val="0DA10E39"/>
    <w:multiLevelType w:val="hybridMultilevel"/>
    <w:tmpl w:val="B518E1FC"/>
    <w:lvl w:ilvl="0" w:tplc="7F06ACC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0DE5491C"/>
    <w:multiLevelType w:val="hybridMultilevel"/>
    <w:tmpl w:val="AAA03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CA192E"/>
    <w:multiLevelType w:val="hybridMultilevel"/>
    <w:tmpl w:val="326EF4E8"/>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15:restartNumberingAfterBreak="0">
    <w:nsid w:val="1904610A"/>
    <w:multiLevelType w:val="hybridMultilevel"/>
    <w:tmpl w:val="386A83F0"/>
    <w:lvl w:ilvl="0" w:tplc="7A800F0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1CEE160C"/>
    <w:multiLevelType w:val="hybridMultilevel"/>
    <w:tmpl w:val="DA242618"/>
    <w:lvl w:ilvl="0" w:tplc="6B5ACEC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1E282CB7"/>
    <w:multiLevelType w:val="hybridMultilevel"/>
    <w:tmpl w:val="530444A0"/>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 w15:restartNumberingAfterBreak="0">
    <w:nsid w:val="236C2749"/>
    <w:multiLevelType w:val="hybridMultilevel"/>
    <w:tmpl w:val="1DCA157A"/>
    <w:lvl w:ilvl="0" w:tplc="365A9D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3A36F6E"/>
    <w:multiLevelType w:val="hybridMultilevel"/>
    <w:tmpl w:val="FD8CA2A4"/>
    <w:lvl w:ilvl="0" w:tplc="62361E2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 w15:restartNumberingAfterBreak="0">
    <w:nsid w:val="276222ED"/>
    <w:multiLevelType w:val="hybridMultilevel"/>
    <w:tmpl w:val="FAAE8B46"/>
    <w:lvl w:ilvl="0" w:tplc="499E90D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8" w15:restartNumberingAfterBreak="0">
    <w:nsid w:val="289F0D0A"/>
    <w:multiLevelType w:val="hybridMultilevel"/>
    <w:tmpl w:val="7D6C3BFE"/>
    <w:lvl w:ilvl="0" w:tplc="83D28BE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9" w15:restartNumberingAfterBreak="0">
    <w:nsid w:val="338E074D"/>
    <w:multiLevelType w:val="hybridMultilevel"/>
    <w:tmpl w:val="716EF4D6"/>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362D1EBC"/>
    <w:multiLevelType w:val="hybridMultilevel"/>
    <w:tmpl w:val="F1D644A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76B4755"/>
    <w:multiLevelType w:val="hybridMultilevel"/>
    <w:tmpl w:val="9E105E8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3EE35078"/>
    <w:multiLevelType w:val="hybridMultilevel"/>
    <w:tmpl w:val="05889470"/>
    <w:lvl w:ilvl="0" w:tplc="C44E9C9E">
      <w:start w:val="1"/>
      <w:numFmt w:val="upperRoman"/>
      <w:lvlText w:val="%1."/>
      <w:lvlJc w:val="left"/>
      <w:pPr>
        <w:ind w:left="1571" w:hanging="72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3" w15:restartNumberingAfterBreak="0">
    <w:nsid w:val="40A237D4"/>
    <w:multiLevelType w:val="hybridMultilevel"/>
    <w:tmpl w:val="05889470"/>
    <w:lvl w:ilvl="0" w:tplc="C44E9C9E">
      <w:start w:val="1"/>
      <w:numFmt w:val="upperRoman"/>
      <w:lvlText w:val="%1."/>
      <w:lvlJc w:val="left"/>
      <w:pPr>
        <w:ind w:left="1571" w:hanging="72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4" w15:restartNumberingAfterBreak="0">
    <w:nsid w:val="42CE1930"/>
    <w:multiLevelType w:val="hybridMultilevel"/>
    <w:tmpl w:val="972CE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4220354"/>
    <w:multiLevelType w:val="hybridMultilevel"/>
    <w:tmpl w:val="F2AA2A12"/>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15:restartNumberingAfterBreak="0">
    <w:nsid w:val="44B8177E"/>
    <w:multiLevelType w:val="hybridMultilevel"/>
    <w:tmpl w:val="4A306E40"/>
    <w:lvl w:ilvl="0" w:tplc="355C7D5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7" w15:restartNumberingAfterBreak="0">
    <w:nsid w:val="49A62906"/>
    <w:multiLevelType w:val="hybridMultilevel"/>
    <w:tmpl w:val="F6360AD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FB50944"/>
    <w:multiLevelType w:val="hybridMultilevel"/>
    <w:tmpl w:val="4B5EBE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1B562E"/>
    <w:multiLevelType w:val="hybridMultilevel"/>
    <w:tmpl w:val="B65A3AF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0B50020"/>
    <w:multiLevelType w:val="hybridMultilevel"/>
    <w:tmpl w:val="A81A8254"/>
    <w:lvl w:ilvl="0" w:tplc="55A059C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15:restartNumberingAfterBreak="0">
    <w:nsid w:val="52F257EC"/>
    <w:multiLevelType w:val="hybridMultilevel"/>
    <w:tmpl w:val="55CE1214"/>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2" w15:restartNumberingAfterBreak="0">
    <w:nsid w:val="57BD33AF"/>
    <w:multiLevelType w:val="hybridMultilevel"/>
    <w:tmpl w:val="8E32BD7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ABB0D9E"/>
    <w:multiLevelType w:val="hybridMultilevel"/>
    <w:tmpl w:val="A836A148"/>
    <w:lvl w:ilvl="0" w:tplc="F3D0383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4" w15:restartNumberingAfterBreak="0">
    <w:nsid w:val="5AED0467"/>
    <w:multiLevelType w:val="hybridMultilevel"/>
    <w:tmpl w:val="F4B42750"/>
    <w:lvl w:ilvl="0" w:tplc="A636E9CC">
      <w:start w:val="1"/>
      <w:numFmt w:val="upperRoman"/>
      <w:lvlText w:val="%1."/>
      <w:lvlJc w:val="left"/>
      <w:pPr>
        <w:ind w:left="1429" w:hanging="72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5" w15:restartNumberingAfterBreak="0">
    <w:nsid w:val="5FF90B5F"/>
    <w:multiLevelType w:val="hybridMultilevel"/>
    <w:tmpl w:val="DAD4A6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66E4C2C"/>
    <w:multiLevelType w:val="hybridMultilevel"/>
    <w:tmpl w:val="D49C19F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9467E2B"/>
    <w:multiLevelType w:val="hybridMultilevel"/>
    <w:tmpl w:val="88B651B2"/>
    <w:lvl w:ilvl="0" w:tplc="FA565B5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8" w15:restartNumberingAfterBreak="0">
    <w:nsid w:val="6D034B2B"/>
    <w:multiLevelType w:val="hybridMultilevel"/>
    <w:tmpl w:val="AB9ADEFE"/>
    <w:lvl w:ilvl="0" w:tplc="0C6493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9" w15:restartNumberingAfterBreak="0">
    <w:nsid w:val="6D104CD3"/>
    <w:multiLevelType w:val="multilevel"/>
    <w:tmpl w:val="C5D2A316"/>
    <w:lvl w:ilvl="0">
      <w:start w:val="1"/>
      <w:numFmt w:val="decimal"/>
      <w:lvlText w:val="%1."/>
      <w:lvlJc w:val="left"/>
      <w:pPr>
        <w:ind w:left="1429" w:hanging="360"/>
      </w:pPr>
      <w:rPr>
        <w:rFonts w:cs="Times New Roman" w:hint="default"/>
      </w:rPr>
    </w:lvl>
    <w:lvl w:ilvl="1">
      <w:start w:val="3"/>
      <w:numFmt w:val="decimal"/>
      <w:isLgl/>
      <w:lvlText w:val="%1.%2."/>
      <w:lvlJc w:val="left"/>
      <w:pPr>
        <w:ind w:left="1789" w:hanging="720"/>
      </w:pPr>
      <w:rPr>
        <w:rFonts w:cs="Times New Roman" w:hint="default"/>
      </w:rPr>
    </w:lvl>
    <w:lvl w:ilvl="2">
      <w:start w:val="7"/>
      <w:numFmt w:val="decimal"/>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40" w15:restartNumberingAfterBreak="0">
    <w:nsid w:val="6F6A03E9"/>
    <w:multiLevelType w:val="hybridMultilevel"/>
    <w:tmpl w:val="43E2A9E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6FC95140"/>
    <w:multiLevelType w:val="hybridMultilevel"/>
    <w:tmpl w:val="C40219C6"/>
    <w:lvl w:ilvl="0" w:tplc="B18CE4DE">
      <w:start w:val="1"/>
      <w:numFmt w:val="upperRoman"/>
      <w:lvlText w:val="%1."/>
      <w:lvlJc w:val="left"/>
      <w:pPr>
        <w:ind w:left="1429" w:hanging="72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2" w15:restartNumberingAfterBreak="0">
    <w:nsid w:val="79C7273A"/>
    <w:multiLevelType w:val="hybridMultilevel"/>
    <w:tmpl w:val="A6D61322"/>
    <w:lvl w:ilvl="0" w:tplc="B43025B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3" w15:restartNumberingAfterBreak="0">
    <w:nsid w:val="7B9C5372"/>
    <w:multiLevelType w:val="hybridMultilevel"/>
    <w:tmpl w:val="620A9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34"/>
  </w:num>
  <w:num w:numId="3">
    <w:abstractNumId w:val="22"/>
  </w:num>
  <w:num w:numId="4">
    <w:abstractNumId w:val="13"/>
  </w:num>
  <w:num w:numId="5">
    <w:abstractNumId w:val="23"/>
  </w:num>
  <w:num w:numId="6">
    <w:abstractNumId w:val="17"/>
  </w:num>
  <w:num w:numId="7">
    <w:abstractNumId w:val="7"/>
  </w:num>
  <w:num w:numId="8">
    <w:abstractNumId w:val="42"/>
  </w:num>
  <w:num w:numId="9">
    <w:abstractNumId w:val="31"/>
  </w:num>
  <w:num w:numId="10">
    <w:abstractNumId w:val="33"/>
  </w:num>
  <w:num w:numId="11">
    <w:abstractNumId w:val="38"/>
  </w:num>
  <w:num w:numId="12">
    <w:abstractNumId w:val="25"/>
  </w:num>
  <w:num w:numId="13">
    <w:abstractNumId w:val="11"/>
  </w:num>
  <w:num w:numId="14">
    <w:abstractNumId w:val="39"/>
  </w:num>
  <w:num w:numId="15">
    <w:abstractNumId w:val="14"/>
  </w:num>
  <w:num w:numId="16">
    <w:abstractNumId w:val="19"/>
  </w:num>
  <w:num w:numId="17">
    <w:abstractNumId w:val="5"/>
  </w:num>
  <w:num w:numId="18">
    <w:abstractNumId w:val="3"/>
  </w:num>
  <w:num w:numId="19">
    <w:abstractNumId w:val="26"/>
  </w:num>
  <w:num w:numId="20">
    <w:abstractNumId w:val="37"/>
  </w:num>
  <w:num w:numId="21">
    <w:abstractNumId w:val="16"/>
  </w:num>
  <w:num w:numId="22">
    <w:abstractNumId w:val="8"/>
  </w:num>
  <w:num w:numId="23">
    <w:abstractNumId w:val="12"/>
  </w:num>
  <w:num w:numId="24">
    <w:abstractNumId w:val="30"/>
  </w:num>
  <w:num w:numId="25">
    <w:abstractNumId w:val="6"/>
  </w:num>
  <w:num w:numId="26">
    <w:abstractNumId w:val="1"/>
  </w:num>
  <w:num w:numId="27">
    <w:abstractNumId w:val="41"/>
  </w:num>
  <w:num w:numId="28">
    <w:abstractNumId w:val="10"/>
  </w:num>
  <w:num w:numId="29">
    <w:abstractNumId w:val="0"/>
  </w:num>
  <w:num w:numId="30">
    <w:abstractNumId w:val="40"/>
  </w:num>
  <w:num w:numId="31">
    <w:abstractNumId w:val="36"/>
  </w:num>
  <w:num w:numId="32">
    <w:abstractNumId w:val="29"/>
  </w:num>
  <w:num w:numId="33">
    <w:abstractNumId w:val="2"/>
  </w:num>
  <w:num w:numId="34">
    <w:abstractNumId w:val="32"/>
  </w:num>
  <w:num w:numId="35">
    <w:abstractNumId w:val="27"/>
  </w:num>
  <w:num w:numId="36">
    <w:abstractNumId w:val="20"/>
  </w:num>
  <w:num w:numId="37">
    <w:abstractNumId w:val="35"/>
  </w:num>
  <w:num w:numId="38">
    <w:abstractNumId w:val="4"/>
  </w:num>
  <w:num w:numId="39">
    <w:abstractNumId w:val="28"/>
  </w:num>
  <w:num w:numId="40">
    <w:abstractNumId w:val="15"/>
  </w:num>
  <w:num w:numId="41">
    <w:abstractNumId w:val="24"/>
  </w:num>
  <w:num w:numId="42">
    <w:abstractNumId w:val="43"/>
  </w:num>
  <w:num w:numId="43">
    <w:abstractNumId w:val="21"/>
  </w:num>
  <w:num w:numId="4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647"/>
    <w:rsid w:val="00000CBA"/>
    <w:rsid w:val="00001918"/>
    <w:rsid w:val="000020E1"/>
    <w:rsid w:val="000021C9"/>
    <w:rsid w:val="000046A4"/>
    <w:rsid w:val="000048DE"/>
    <w:rsid w:val="00006FEE"/>
    <w:rsid w:val="00007567"/>
    <w:rsid w:val="0001119A"/>
    <w:rsid w:val="00012C00"/>
    <w:rsid w:val="000145B4"/>
    <w:rsid w:val="0002452E"/>
    <w:rsid w:val="00025CE3"/>
    <w:rsid w:val="00026F62"/>
    <w:rsid w:val="00030F1A"/>
    <w:rsid w:val="000314B5"/>
    <w:rsid w:val="00032BED"/>
    <w:rsid w:val="00034542"/>
    <w:rsid w:val="00035DFA"/>
    <w:rsid w:val="00040C60"/>
    <w:rsid w:val="00040D5E"/>
    <w:rsid w:val="0004748F"/>
    <w:rsid w:val="00047EDD"/>
    <w:rsid w:val="00053CD6"/>
    <w:rsid w:val="00062007"/>
    <w:rsid w:val="00063A72"/>
    <w:rsid w:val="00066A7E"/>
    <w:rsid w:val="0006795E"/>
    <w:rsid w:val="000770D9"/>
    <w:rsid w:val="000806F2"/>
    <w:rsid w:val="00082D55"/>
    <w:rsid w:val="0008377E"/>
    <w:rsid w:val="0008776E"/>
    <w:rsid w:val="00090552"/>
    <w:rsid w:val="0009317A"/>
    <w:rsid w:val="000934E9"/>
    <w:rsid w:val="000945C7"/>
    <w:rsid w:val="00097F55"/>
    <w:rsid w:val="000A11BC"/>
    <w:rsid w:val="000A4029"/>
    <w:rsid w:val="000A7FB2"/>
    <w:rsid w:val="000B0066"/>
    <w:rsid w:val="000B0ACB"/>
    <w:rsid w:val="000C06C0"/>
    <w:rsid w:val="000C06D6"/>
    <w:rsid w:val="000C2C7E"/>
    <w:rsid w:val="000D443C"/>
    <w:rsid w:val="000D4C49"/>
    <w:rsid w:val="000D4CB0"/>
    <w:rsid w:val="000D57F6"/>
    <w:rsid w:val="000D66A7"/>
    <w:rsid w:val="000D782F"/>
    <w:rsid w:val="000E0DF4"/>
    <w:rsid w:val="000E1EFA"/>
    <w:rsid w:val="000E3288"/>
    <w:rsid w:val="000E5EC2"/>
    <w:rsid w:val="000F317D"/>
    <w:rsid w:val="000F4079"/>
    <w:rsid w:val="000F5084"/>
    <w:rsid w:val="00100C6F"/>
    <w:rsid w:val="00103C5D"/>
    <w:rsid w:val="001050B4"/>
    <w:rsid w:val="0010710E"/>
    <w:rsid w:val="00110EB7"/>
    <w:rsid w:val="0011325B"/>
    <w:rsid w:val="001168BA"/>
    <w:rsid w:val="00117673"/>
    <w:rsid w:val="00117B35"/>
    <w:rsid w:val="00120642"/>
    <w:rsid w:val="00120C19"/>
    <w:rsid w:val="00120CDE"/>
    <w:rsid w:val="00125BAA"/>
    <w:rsid w:val="00127AFF"/>
    <w:rsid w:val="001334DD"/>
    <w:rsid w:val="001361CF"/>
    <w:rsid w:val="00136E77"/>
    <w:rsid w:val="00154C26"/>
    <w:rsid w:val="00155159"/>
    <w:rsid w:val="001553FC"/>
    <w:rsid w:val="00157547"/>
    <w:rsid w:val="001645C4"/>
    <w:rsid w:val="001656F8"/>
    <w:rsid w:val="00166219"/>
    <w:rsid w:val="001677A5"/>
    <w:rsid w:val="00175C51"/>
    <w:rsid w:val="0018107D"/>
    <w:rsid w:val="001822D0"/>
    <w:rsid w:val="001878CF"/>
    <w:rsid w:val="00194029"/>
    <w:rsid w:val="0019504B"/>
    <w:rsid w:val="0019784F"/>
    <w:rsid w:val="001A3CE1"/>
    <w:rsid w:val="001B689B"/>
    <w:rsid w:val="001C3BAD"/>
    <w:rsid w:val="001C3EC7"/>
    <w:rsid w:val="001C4A39"/>
    <w:rsid w:val="001C5B63"/>
    <w:rsid w:val="001D2DC6"/>
    <w:rsid w:val="001D2EAA"/>
    <w:rsid w:val="001D3F4C"/>
    <w:rsid w:val="001D68C0"/>
    <w:rsid w:val="001E140B"/>
    <w:rsid w:val="001E2246"/>
    <w:rsid w:val="001E5353"/>
    <w:rsid w:val="001F142F"/>
    <w:rsid w:val="001F2B82"/>
    <w:rsid w:val="001F34F2"/>
    <w:rsid w:val="001F7D76"/>
    <w:rsid w:val="002020A8"/>
    <w:rsid w:val="00203A76"/>
    <w:rsid w:val="0020602E"/>
    <w:rsid w:val="00225678"/>
    <w:rsid w:val="00231DCF"/>
    <w:rsid w:val="0023224F"/>
    <w:rsid w:val="00234BD7"/>
    <w:rsid w:val="00252D00"/>
    <w:rsid w:val="0025468D"/>
    <w:rsid w:val="0026069D"/>
    <w:rsid w:val="00260B46"/>
    <w:rsid w:val="00265D9B"/>
    <w:rsid w:val="00266496"/>
    <w:rsid w:val="0027200C"/>
    <w:rsid w:val="002726B1"/>
    <w:rsid w:val="00276F73"/>
    <w:rsid w:val="00277882"/>
    <w:rsid w:val="002802D2"/>
    <w:rsid w:val="00282403"/>
    <w:rsid w:val="00282AB3"/>
    <w:rsid w:val="00287240"/>
    <w:rsid w:val="00292251"/>
    <w:rsid w:val="002A074E"/>
    <w:rsid w:val="002A191E"/>
    <w:rsid w:val="002A3071"/>
    <w:rsid w:val="002B294D"/>
    <w:rsid w:val="002B3102"/>
    <w:rsid w:val="002B475E"/>
    <w:rsid w:val="002C14EE"/>
    <w:rsid w:val="002C7645"/>
    <w:rsid w:val="002C7BCE"/>
    <w:rsid w:val="002F42A2"/>
    <w:rsid w:val="002F6555"/>
    <w:rsid w:val="002F690D"/>
    <w:rsid w:val="00302EE3"/>
    <w:rsid w:val="00305CA5"/>
    <w:rsid w:val="003063E9"/>
    <w:rsid w:val="0031192E"/>
    <w:rsid w:val="003130C6"/>
    <w:rsid w:val="00313147"/>
    <w:rsid w:val="00314F2D"/>
    <w:rsid w:val="00316E3F"/>
    <w:rsid w:val="00317E38"/>
    <w:rsid w:val="00320C43"/>
    <w:rsid w:val="00320F99"/>
    <w:rsid w:val="003246BE"/>
    <w:rsid w:val="003304D6"/>
    <w:rsid w:val="00331C94"/>
    <w:rsid w:val="00334503"/>
    <w:rsid w:val="0034340B"/>
    <w:rsid w:val="0034492B"/>
    <w:rsid w:val="0034592B"/>
    <w:rsid w:val="00347D5E"/>
    <w:rsid w:val="00360E6B"/>
    <w:rsid w:val="003618BB"/>
    <w:rsid w:val="00361EC8"/>
    <w:rsid w:val="00364711"/>
    <w:rsid w:val="003654B4"/>
    <w:rsid w:val="00366B12"/>
    <w:rsid w:val="003763B8"/>
    <w:rsid w:val="00376DF1"/>
    <w:rsid w:val="0038270E"/>
    <w:rsid w:val="003872DB"/>
    <w:rsid w:val="00390FF5"/>
    <w:rsid w:val="00396601"/>
    <w:rsid w:val="003A0636"/>
    <w:rsid w:val="003A1AA8"/>
    <w:rsid w:val="003A4721"/>
    <w:rsid w:val="003A5A8A"/>
    <w:rsid w:val="003B1A8F"/>
    <w:rsid w:val="003B3AEF"/>
    <w:rsid w:val="003C1BC1"/>
    <w:rsid w:val="003C3787"/>
    <w:rsid w:val="003C4A7E"/>
    <w:rsid w:val="003C6E58"/>
    <w:rsid w:val="003C7A00"/>
    <w:rsid w:val="003D2003"/>
    <w:rsid w:val="003D22A9"/>
    <w:rsid w:val="003D26D6"/>
    <w:rsid w:val="003D38DE"/>
    <w:rsid w:val="003D4C2E"/>
    <w:rsid w:val="003D609E"/>
    <w:rsid w:val="003D6CB5"/>
    <w:rsid w:val="003E5B33"/>
    <w:rsid w:val="003E679A"/>
    <w:rsid w:val="003F3DFC"/>
    <w:rsid w:val="003F6222"/>
    <w:rsid w:val="003F746A"/>
    <w:rsid w:val="0040606B"/>
    <w:rsid w:val="00413982"/>
    <w:rsid w:val="00414F22"/>
    <w:rsid w:val="004209DD"/>
    <w:rsid w:val="00426B84"/>
    <w:rsid w:val="00433530"/>
    <w:rsid w:val="00434705"/>
    <w:rsid w:val="00434796"/>
    <w:rsid w:val="00435A07"/>
    <w:rsid w:val="00440246"/>
    <w:rsid w:val="00440FF8"/>
    <w:rsid w:val="0044188B"/>
    <w:rsid w:val="004435C3"/>
    <w:rsid w:val="00446541"/>
    <w:rsid w:val="00450177"/>
    <w:rsid w:val="00451925"/>
    <w:rsid w:val="00452275"/>
    <w:rsid w:val="00452F5C"/>
    <w:rsid w:val="00453B44"/>
    <w:rsid w:val="0045676F"/>
    <w:rsid w:val="00456B4C"/>
    <w:rsid w:val="004629EA"/>
    <w:rsid w:val="004642CA"/>
    <w:rsid w:val="00464CC9"/>
    <w:rsid w:val="00467272"/>
    <w:rsid w:val="00471CCC"/>
    <w:rsid w:val="00473383"/>
    <w:rsid w:val="00475225"/>
    <w:rsid w:val="00477E46"/>
    <w:rsid w:val="004811AC"/>
    <w:rsid w:val="004836FB"/>
    <w:rsid w:val="00484F42"/>
    <w:rsid w:val="00486AC2"/>
    <w:rsid w:val="00487399"/>
    <w:rsid w:val="004A03F0"/>
    <w:rsid w:val="004A2424"/>
    <w:rsid w:val="004A290F"/>
    <w:rsid w:val="004B52A5"/>
    <w:rsid w:val="004B5821"/>
    <w:rsid w:val="004C0B35"/>
    <w:rsid w:val="004C1B82"/>
    <w:rsid w:val="004C464A"/>
    <w:rsid w:val="004C4946"/>
    <w:rsid w:val="004C66ED"/>
    <w:rsid w:val="004D3015"/>
    <w:rsid w:val="004D3CC7"/>
    <w:rsid w:val="004D5DB0"/>
    <w:rsid w:val="004E27A4"/>
    <w:rsid w:val="004E5934"/>
    <w:rsid w:val="004E7AB1"/>
    <w:rsid w:val="004F0577"/>
    <w:rsid w:val="004F1354"/>
    <w:rsid w:val="004F2991"/>
    <w:rsid w:val="004F422C"/>
    <w:rsid w:val="004F7F4A"/>
    <w:rsid w:val="005005DB"/>
    <w:rsid w:val="00501E2F"/>
    <w:rsid w:val="00504864"/>
    <w:rsid w:val="00504BE5"/>
    <w:rsid w:val="005063FE"/>
    <w:rsid w:val="005109E5"/>
    <w:rsid w:val="00516F10"/>
    <w:rsid w:val="00521A33"/>
    <w:rsid w:val="00523FA2"/>
    <w:rsid w:val="005244E8"/>
    <w:rsid w:val="00527BF3"/>
    <w:rsid w:val="0053170F"/>
    <w:rsid w:val="0053243B"/>
    <w:rsid w:val="005356D2"/>
    <w:rsid w:val="00537114"/>
    <w:rsid w:val="00537F81"/>
    <w:rsid w:val="00542059"/>
    <w:rsid w:val="0054492E"/>
    <w:rsid w:val="00547FFE"/>
    <w:rsid w:val="00551AEB"/>
    <w:rsid w:val="0055642A"/>
    <w:rsid w:val="00563C49"/>
    <w:rsid w:val="005651BF"/>
    <w:rsid w:val="00567B0B"/>
    <w:rsid w:val="00570DDA"/>
    <w:rsid w:val="00571F15"/>
    <w:rsid w:val="005745AF"/>
    <w:rsid w:val="005745C1"/>
    <w:rsid w:val="005761CF"/>
    <w:rsid w:val="00577229"/>
    <w:rsid w:val="005815A1"/>
    <w:rsid w:val="00582BF0"/>
    <w:rsid w:val="00583660"/>
    <w:rsid w:val="00585FF7"/>
    <w:rsid w:val="00586648"/>
    <w:rsid w:val="00587228"/>
    <w:rsid w:val="00593477"/>
    <w:rsid w:val="00597FA7"/>
    <w:rsid w:val="005A0B95"/>
    <w:rsid w:val="005A13C0"/>
    <w:rsid w:val="005A3BF3"/>
    <w:rsid w:val="005A51A3"/>
    <w:rsid w:val="005A5959"/>
    <w:rsid w:val="005B6603"/>
    <w:rsid w:val="005B7ABB"/>
    <w:rsid w:val="005C2905"/>
    <w:rsid w:val="005C48EC"/>
    <w:rsid w:val="005C4E03"/>
    <w:rsid w:val="005C7015"/>
    <w:rsid w:val="005D0407"/>
    <w:rsid w:val="005D1419"/>
    <w:rsid w:val="005D2E36"/>
    <w:rsid w:val="005E3A2A"/>
    <w:rsid w:val="005E54C0"/>
    <w:rsid w:val="005F095B"/>
    <w:rsid w:val="005F59BD"/>
    <w:rsid w:val="005F6D54"/>
    <w:rsid w:val="005F7BDE"/>
    <w:rsid w:val="006008CB"/>
    <w:rsid w:val="00605150"/>
    <w:rsid w:val="00606336"/>
    <w:rsid w:val="0060636E"/>
    <w:rsid w:val="00610418"/>
    <w:rsid w:val="00611402"/>
    <w:rsid w:val="00614DC2"/>
    <w:rsid w:val="0062496C"/>
    <w:rsid w:val="00625952"/>
    <w:rsid w:val="00633B2A"/>
    <w:rsid w:val="00637B4F"/>
    <w:rsid w:val="00640DAB"/>
    <w:rsid w:val="0064224F"/>
    <w:rsid w:val="00644C45"/>
    <w:rsid w:val="00645516"/>
    <w:rsid w:val="00654F45"/>
    <w:rsid w:val="006619B3"/>
    <w:rsid w:val="006626BC"/>
    <w:rsid w:val="00664DC8"/>
    <w:rsid w:val="00665B80"/>
    <w:rsid w:val="00675731"/>
    <w:rsid w:val="00675A9F"/>
    <w:rsid w:val="006903A8"/>
    <w:rsid w:val="00694ABE"/>
    <w:rsid w:val="00696026"/>
    <w:rsid w:val="00697249"/>
    <w:rsid w:val="006977D7"/>
    <w:rsid w:val="006A322D"/>
    <w:rsid w:val="006A4F5B"/>
    <w:rsid w:val="006B1541"/>
    <w:rsid w:val="006B3E81"/>
    <w:rsid w:val="006B52DA"/>
    <w:rsid w:val="006B5F47"/>
    <w:rsid w:val="006C21D2"/>
    <w:rsid w:val="006C3319"/>
    <w:rsid w:val="006C46E0"/>
    <w:rsid w:val="006C6F3D"/>
    <w:rsid w:val="006C7F34"/>
    <w:rsid w:val="006D3F55"/>
    <w:rsid w:val="006D5047"/>
    <w:rsid w:val="006D603E"/>
    <w:rsid w:val="006E2BCF"/>
    <w:rsid w:val="006E2C78"/>
    <w:rsid w:val="006E3240"/>
    <w:rsid w:val="006E58CE"/>
    <w:rsid w:val="006F12C3"/>
    <w:rsid w:val="006F179A"/>
    <w:rsid w:val="006F186C"/>
    <w:rsid w:val="006F212E"/>
    <w:rsid w:val="006F47BA"/>
    <w:rsid w:val="00701BDC"/>
    <w:rsid w:val="007104D0"/>
    <w:rsid w:val="0071209A"/>
    <w:rsid w:val="007140CE"/>
    <w:rsid w:val="00716E31"/>
    <w:rsid w:val="007215F1"/>
    <w:rsid w:val="00727A72"/>
    <w:rsid w:val="007305E2"/>
    <w:rsid w:val="007352EE"/>
    <w:rsid w:val="00736190"/>
    <w:rsid w:val="007416DA"/>
    <w:rsid w:val="007421F0"/>
    <w:rsid w:val="00743823"/>
    <w:rsid w:val="00746F24"/>
    <w:rsid w:val="0074799B"/>
    <w:rsid w:val="00750189"/>
    <w:rsid w:val="007508C4"/>
    <w:rsid w:val="00752EBE"/>
    <w:rsid w:val="00755643"/>
    <w:rsid w:val="00755801"/>
    <w:rsid w:val="00757BC6"/>
    <w:rsid w:val="00757D58"/>
    <w:rsid w:val="00760930"/>
    <w:rsid w:val="00760EA4"/>
    <w:rsid w:val="007643B2"/>
    <w:rsid w:val="0076457B"/>
    <w:rsid w:val="00773B72"/>
    <w:rsid w:val="00777087"/>
    <w:rsid w:val="007868C7"/>
    <w:rsid w:val="00787E5A"/>
    <w:rsid w:val="007903ED"/>
    <w:rsid w:val="0079168D"/>
    <w:rsid w:val="00791C9D"/>
    <w:rsid w:val="00792A6B"/>
    <w:rsid w:val="007946A8"/>
    <w:rsid w:val="00796896"/>
    <w:rsid w:val="007A223E"/>
    <w:rsid w:val="007A444E"/>
    <w:rsid w:val="007A526A"/>
    <w:rsid w:val="007A5BF4"/>
    <w:rsid w:val="007A6D3F"/>
    <w:rsid w:val="007A7047"/>
    <w:rsid w:val="007B0333"/>
    <w:rsid w:val="007B3B8C"/>
    <w:rsid w:val="007B4A59"/>
    <w:rsid w:val="007C0406"/>
    <w:rsid w:val="007C4865"/>
    <w:rsid w:val="007D04D2"/>
    <w:rsid w:val="007D19A7"/>
    <w:rsid w:val="007D323A"/>
    <w:rsid w:val="007E00BD"/>
    <w:rsid w:val="007E0404"/>
    <w:rsid w:val="007E30C8"/>
    <w:rsid w:val="007E35C2"/>
    <w:rsid w:val="007E5810"/>
    <w:rsid w:val="007F0247"/>
    <w:rsid w:val="007F15DB"/>
    <w:rsid w:val="007F4D1E"/>
    <w:rsid w:val="007F600C"/>
    <w:rsid w:val="008026EC"/>
    <w:rsid w:val="00803336"/>
    <w:rsid w:val="00804176"/>
    <w:rsid w:val="00806B9F"/>
    <w:rsid w:val="008102D6"/>
    <w:rsid w:val="00810D15"/>
    <w:rsid w:val="0081315B"/>
    <w:rsid w:val="0082141A"/>
    <w:rsid w:val="00822371"/>
    <w:rsid w:val="008223DA"/>
    <w:rsid w:val="008252BD"/>
    <w:rsid w:val="008304EF"/>
    <w:rsid w:val="008336E0"/>
    <w:rsid w:val="00833EB9"/>
    <w:rsid w:val="008355A3"/>
    <w:rsid w:val="008425E7"/>
    <w:rsid w:val="0084597F"/>
    <w:rsid w:val="00847474"/>
    <w:rsid w:val="00850219"/>
    <w:rsid w:val="00855065"/>
    <w:rsid w:val="008578A8"/>
    <w:rsid w:val="008611C6"/>
    <w:rsid w:val="00870EDF"/>
    <w:rsid w:val="00871BB4"/>
    <w:rsid w:val="008739BE"/>
    <w:rsid w:val="008777BE"/>
    <w:rsid w:val="00877846"/>
    <w:rsid w:val="008779A5"/>
    <w:rsid w:val="00880675"/>
    <w:rsid w:val="0088174A"/>
    <w:rsid w:val="00882205"/>
    <w:rsid w:val="00887B3B"/>
    <w:rsid w:val="00891EF9"/>
    <w:rsid w:val="0089323C"/>
    <w:rsid w:val="00897371"/>
    <w:rsid w:val="008A0E5D"/>
    <w:rsid w:val="008A1180"/>
    <w:rsid w:val="008A221C"/>
    <w:rsid w:val="008A3872"/>
    <w:rsid w:val="008B1231"/>
    <w:rsid w:val="008B151A"/>
    <w:rsid w:val="008B1E24"/>
    <w:rsid w:val="008B77A2"/>
    <w:rsid w:val="008C160C"/>
    <w:rsid w:val="008D474F"/>
    <w:rsid w:val="008E3A8C"/>
    <w:rsid w:val="008F62C5"/>
    <w:rsid w:val="008F7EF7"/>
    <w:rsid w:val="009045BC"/>
    <w:rsid w:val="00905154"/>
    <w:rsid w:val="009123B6"/>
    <w:rsid w:val="009123F8"/>
    <w:rsid w:val="009150E8"/>
    <w:rsid w:val="0092192D"/>
    <w:rsid w:val="0092457D"/>
    <w:rsid w:val="00932970"/>
    <w:rsid w:val="009336F2"/>
    <w:rsid w:val="0094005A"/>
    <w:rsid w:val="00941ED4"/>
    <w:rsid w:val="00942FF1"/>
    <w:rsid w:val="009529C6"/>
    <w:rsid w:val="00963813"/>
    <w:rsid w:val="00966B07"/>
    <w:rsid w:val="00973878"/>
    <w:rsid w:val="00976E4F"/>
    <w:rsid w:val="00980209"/>
    <w:rsid w:val="009836F9"/>
    <w:rsid w:val="009871D7"/>
    <w:rsid w:val="009871F2"/>
    <w:rsid w:val="009A3B93"/>
    <w:rsid w:val="009A7E9F"/>
    <w:rsid w:val="009B098F"/>
    <w:rsid w:val="009B0CE7"/>
    <w:rsid w:val="009B0F2E"/>
    <w:rsid w:val="009B521F"/>
    <w:rsid w:val="009B560C"/>
    <w:rsid w:val="009B7C3D"/>
    <w:rsid w:val="009C1DBF"/>
    <w:rsid w:val="009C4EF3"/>
    <w:rsid w:val="009C772C"/>
    <w:rsid w:val="009E3984"/>
    <w:rsid w:val="009E3A08"/>
    <w:rsid w:val="009E48DD"/>
    <w:rsid w:val="009E5C08"/>
    <w:rsid w:val="009E61CB"/>
    <w:rsid w:val="009E6843"/>
    <w:rsid w:val="009E7BD1"/>
    <w:rsid w:val="009F044D"/>
    <w:rsid w:val="009F24BA"/>
    <w:rsid w:val="009F5826"/>
    <w:rsid w:val="009F5B51"/>
    <w:rsid w:val="00A02975"/>
    <w:rsid w:val="00A052FB"/>
    <w:rsid w:val="00A10443"/>
    <w:rsid w:val="00A130CD"/>
    <w:rsid w:val="00A16A8B"/>
    <w:rsid w:val="00A205EA"/>
    <w:rsid w:val="00A24784"/>
    <w:rsid w:val="00A322F4"/>
    <w:rsid w:val="00A330A9"/>
    <w:rsid w:val="00A37485"/>
    <w:rsid w:val="00A4018A"/>
    <w:rsid w:val="00A417C8"/>
    <w:rsid w:val="00A50D6A"/>
    <w:rsid w:val="00A54291"/>
    <w:rsid w:val="00A576E0"/>
    <w:rsid w:val="00A65BAD"/>
    <w:rsid w:val="00A67750"/>
    <w:rsid w:val="00A7152E"/>
    <w:rsid w:val="00A77E5F"/>
    <w:rsid w:val="00A81888"/>
    <w:rsid w:val="00A81E27"/>
    <w:rsid w:val="00A82198"/>
    <w:rsid w:val="00A8332B"/>
    <w:rsid w:val="00A839A1"/>
    <w:rsid w:val="00A90B22"/>
    <w:rsid w:val="00A938ED"/>
    <w:rsid w:val="00A96739"/>
    <w:rsid w:val="00AA0021"/>
    <w:rsid w:val="00AA08A0"/>
    <w:rsid w:val="00AA2931"/>
    <w:rsid w:val="00AA420B"/>
    <w:rsid w:val="00AB1298"/>
    <w:rsid w:val="00AB2E74"/>
    <w:rsid w:val="00AB36A9"/>
    <w:rsid w:val="00AC4CCB"/>
    <w:rsid w:val="00AC5F18"/>
    <w:rsid w:val="00AC76E4"/>
    <w:rsid w:val="00AD1DF0"/>
    <w:rsid w:val="00AD2DD1"/>
    <w:rsid w:val="00AD57E3"/>
    <w:rsid w:val="00AE1B5A"/>
    <w:rsid w:val="00AF0562"/>
    <w:rsid w:val="00AF27A6"/>
    <w:rsid w:val="00AF3B73"/>
    <w:rsid w:val="00AF4944"/>
    <w:rsid w:val="00B00F17"/>
    <w:rsid w:val="00B02E36"/>
    <w:rsid w:val="00B043D6"/>
    <w:rsid w:val="00B047D9"/>
    <w:rsid w:val="00B0549E"/>
    <w:rsid w:val="00B11708"/>
    <w:rsid w:val="00B13BAA"/>
    <w:rsid w:val="00B14885"/>
    <w:rsid w:val="00B14F03"/>
    <w:rsid w:val="00B22860"/>
    <w:rsid w:val="00B22A62"/>
    <w:rsid w:val="00B27493"/>
    <w:rsid w:val="00B340F8"/>
    <w:rsid w:val="00B34223"/>
    <w:rsid w:val="00B40D42"/>
    <w:rsid w:val="00B42B76"/>
    <w:rsid w:val="00B50352"/>
    <w:rsid w:val="00B533C3"/>
    <w:rsid w:val="00B54901"/>
    <w:rsid w:val="00B551AB"/>
    <w:rsid w:val="00B55FA2"/>
    <w:rsid w:val="00B5787E"/>
    <w:rsid w:val="00B62FE9"/>
    <w:rsid w:val="00B6616E"/>
    <w:rsid w:val="00B67CD7"/>
    <w:rsid w:val="00B725DC"/>
    <w:rsid w:val="00B72E65"/>
    <w:rsid w:val="00B73571"/>
    <w:rsid w:val="00B76EFC"/>
    <w:rsid w:val="00B828D9"/>
    <w:rsid w:val="00B84C6A"/>
    <w:rsid w:val="00B86AA1"/>
    <w:rsid w:val="00B97296"/>
    <w:rsid w:val="00B97AD7"/>
    <w:rsid w:val="00BA007C"/>
    <w:rsid w:val="00BA321C"/>
    <w:rsid w:val="00BA4A18"/>
    <w:rsid w:val="00BA5F35"/>
    <w:rsid w:val="00BB246D"/>
    <w:rsid w:val="00BB280E"/>
    <w:rsid w:val="00BB4E53"/>
    <w:rsid w:val="00BB5985"/>
    <w:rsid w:val="00BB7D6C"/>
    <w:rsid w:val="00BC36BF"/>
    <w:rsid w:val="00BD34A7"/>
    <w:rsid w:val="00BD3D69"/>
    <w:rsid w:val="00BD78C5"/>
    <w:rsid w:val="00BE08F2"/>
    <w:rsid w:val="00BE1746"/>
    <w:rsid w:val="00BE3402"/>
    <w:rsid w:val="00BE3FE8"/>
    <w:rsid w:val="00BE4F4D"/>
    <w:rsid w:val="00BE5489"/>
    <w:rsid w:val="00BE64D5"/>
    <w:rsid w:val="00BE7124"/>
    <w:rsid w:val="00BE78A9"/>
    <w:rsid w:val="00BF0B35"/>
    <w:rsid w:val="00BF5D82"/>
    <w:rsid w:val="00C003D4"/>
    <w:rsid w:val="00C0167A"/>
    <w:rsid w:val="00C01911"/>
    <w:rsid w:val="00C0493D"/>
    <w:rsid w:val="00C110C2"/>
    <w:rsid w:val="00C1262C"/>
    <w:rsid w:val="00C154CD"/>
    <w:rsid w:val="00C2563A"/>
    <w:rsid w:val="00C26CE5"/>
    <w:rsid w:val="00C3497E"/>
    <w:rsid w:val="00C35137"/>
    <w:rsid w:val="00C35E98"/>
    <w:rsid w:val="00C40291"/>
    <w:rsid w:val="00C44B74"/>
    <w:rsid w:val="00C44D7F"/>
    <w:rsid w:val="00C5167F"/>
    <w:rsid w:val="00C531D8"/>
    <w:rsid w:val="00C53A2A"/>
    <w:rsid w:val="00C540C7"/>
    <w:rsid w:val="00C552A8"/>
    <w:rsid w:val="00C610E9"/>
    <w:rsid w:val="00C72E15"/>
    <w:rsid w:val="00C7304D"/>
    <w:rsid w:val="00C80FB3"/>
    <w:rsid w:val="00C826EA"/>
    <w:rsid w:val="00C851C4"/>
    <w:rsid w:val="00C86BA0"/>
    <w:rsid w:val="00C9737E"/>
    <w:rsid w:val="00CA03F4"/>
    <w:rsid w:val="00CA7B91"/>
    <w:rsid w:val="00CB0057"/>
    <w:rsid w:val="00CC1F39"/>
    <w:rsid w:val="00CC21A1"/>
    <w:rsid w:val="00CC3D01"/>
    <w:rsid w:val="00CC70A0"/>
    <w:rsid w:val="00CC7233"/>
    <w:rsid w:val="00CC76B0"/>
    <w:rsid w:val="00CC7FC4"/>
    <w:rsid w:val="00CD1F00"/>
    <w:rsid w:val="00CD6613"/>
    <w:rsid w:val="00CE0F74"/>
    <w:rsid w:val="00CE1CFD"/>
    <w:rsid w:val="00CF09C5"/>
    <w:rsid w:val="00CF0CD7"/>
    <w:rsid w:val="00CF39E7"/>
    <w:rsid w:val="00CF4CB5"/>
    <w:rsid w:val="00CF6DA1"/>
    <w:rsid w:val="00D05695"/>
    <w:rsid w:val="00D06090"/>
    <w:rsid w:val="00D065FA"/>
    <w:rsid w:val="00D115C9"/>
    <w:rsid w:val="00D11BE6"/>
    <w:rsid w:val="00D12A72"/>
    <w:rsid w:val="00D14820"/>
    <w:rsid w:val="00D31238"/>
    <w:rsid w:val="00D31A4D"/>
    <w:rsid w:val="00D3385D"/>
    <w:rsid w:val="00D36E09"/>
    <w:rsid w:val="00D412F5"/>
    <w:rsid w:val="00D42C1E"/>
    <w:rsid w:val="00D467BE"/>
    <w:rsid w:val="00D47F6A"/>
    <w:rsid w:val="00D518DB"/>
    <w:rsid w:val="00D53A58"/>
    <w:rsid w:val="00D60BCA"/>
    <w:rsid w:val="00D61782"/>
    <w:rsid w:val="00D72D89"/>
    <w:rsid w:val="00D74FC3"/>
    <w:rsid w:val="00D7656B"/>
    <w:rsid w:val="00D80049"/>
    <w:rsid w:val="00D82DFC"/>
    <w:rsid w:val="00D83C59"/>
    <w:rsid w:val="00D928E1"/>
    <w:rsid w:val="00D95A28"/>
    <w:rsid w:val="00DA23BC"/>
    <w:rsid w:val="00DA2B5E"/>
    <w:rsid w:val="00DA4423"/>
    <w:rsid w:val="00DA501B"/>
    <w:rsid w:val="00DA771C"/>
    <w:rsid w:val="00DB6D00"/>
    <w:rsid w:val="00DC09E4"/>
    <w:rsid w:val="00DD0BE5"/>
    <w:rsid w:val="00DD1A29"/>
    <w:rsid w:val="00DD294C"/>
    <w:rsid w:val="00DD3D12"/>
    <w:rsid w:val="00DD5559"/>
    <w:rsid w:val="00DD7681"/>
    <w:rsid w:val="00DE0652"/>
    <w:rsid w:val="00DE132A"/>
    <w:rsid w:val="00DE31B5"/>
    <w:rsid w:val="00DE50AD"/>
    <w:rsid w:val="00DF01D8"/>
    <w:rsid w:val="00DF183C"/>
    <w:rsid w:val="00DF1F86"/>
    <w:rsid w:val="00DF7006"/>
    <w:rsid w:val="00E0098A"/>
    <w:rsid w:val="00E02C41"/>
    <w:rsid w:val="00E0713A"/>
    <w:rsid w:val="00E1012C"/>
    <w:rsid w:val="00E12E94"/>
    <w:rsid w:val="00E1326E"/>
    <w:rsid w:val="00E20B3B"/>
    <w:rsid w:val="00E2126A"/>
    <w:rsid w:val="00E23788"/>
    <w:rsid w:val="00E23A04"/>
    <w:rsid w:val="00E243BB"/>
    <w:rsid w:val="00E249F2"/>
    <w:rsid w:val="00E25A4C"/>
    <w:rsid w:val="00E30DDD"/>
    <w:rsid w:val="00E45058"/>
    <w:rsid w:val="00E53C41"/>
    <w:rsid w:val="00E56509"/>
    <w:rsid w:val="00E568BE"/>
    <w:rsid w:val="00E60B6C"/>
    <w:rsid w:val="00E62951"/>
    <w:rsid w:val="00E62C2E"/>
    <w:rsid w:val="00E67E39"/>
    <w:rsid w:val="00E720C2"/>
    <w:rsid w:val="00E73249"/>
    <w:rsid w:val="00E74093"/>
    <w:rsid w:val="00E76814"/>
    <w:rsid w:val="00E820C7"/>
    <w:rsid w:val="00E83863"/>
    <w:rsid w:val="00E84AF0"/>
    <w:rsid w:val="00E87A66"/>
    <w:rsid w:val="00E91B98"/>
    <w:rsid w:val="00E94317"/>
    <w:rsid w:val="00E949AE"/>
    <w:rsid w:val="00E95A28"/>
    <w:rsid w:val="00E967F5"/>
    <w:rsid w:val="00E97240"/>
    <w:rsid w:val="00EA029B"/>
    <w:rsid w:val="00EA0808"/>
    <w:rsid w:val="00EA125D"/>
    <w:rsid w:val="00EA4962"/>
    <w:rsid w:val="00EB0C89"/>
    <w:rsid w:val="00EB3BED"/>
    <w:rsid w:val="00EC30FE"/>
    <w:rsid w:val="00EC4F23"/>
    <w:rsid w:val="00ED2B45"/>
    <w:rsid w:val="00ED3600"/>
    <w:rsid w:val="00ED3CE8"/>
    <w:rsid w:val="00EE3451"/>
    <w:rsid w:val="00EE61C7"/>
    <w:rsid w:val="00EF189E"/>
    <w:rsid w:val="00F00885"/>
    <w:rsid w:val="00F0138C"/>
    <w:rsid w:val="00F02647"/>
    <w:rsid w:val="00F02869"/>
    <w:rsid w:val="00F02C7E"/>
    <w:rsid w:val="00F0323D"/>
    <w:rsid w:val="00F0491A"/>
    <w:rsid w:val="00F04FAB"/>
    <w:rsid w:val="00F04FAE"/>
    <w:rsid w:val="00F06A75"/>
    <w:rsid w:val="00F10864"/>
    <w:rsid w:val="00F12726"/>
    <w:rsid w:val="00F1336A"/>
    <w:rsid w:val="00F212F2"/>
    <w:rsid w:val="00F2400F"/>
    <w:rsid w:val="00F302F2"/>
    <w:rsid w:val="00F326CE"/>
    <w:rsid w:val="00F41DCA"/>
    <w:rsid w:val="00F4355C"/>
    <w:rsid w:val="00F44902"/>
    <w:rsid w:val="00F478AC"/>
    <w:rsid w:val="00F47995"/>
    <w:rsid w:val="00F516D8"/>
    <w:rsid w:val="00F53334"/>
    <w:rsid w:val="00F55A29"/>
    <w:rsid w:val="00F60989"/>
    <w:rsid w:val="00F61026"/>
    <w:rsid w:val="00F61140"/>
    <w:rsid w:val="00F61AFC"/>
    <w:rsid w:val="00F61D4B"/>
    <w:rsid w:val="00F61E15"/>
    <w:rsid w:val="00F63C0D"/>
    <w:rsid w:val="00F645AD"/>
    <w:rsid w:val="00F66363"/>
    <w:rsid w:val="00F6641B"/>
    <w:rsid w:val="00F668DF"/>
    <w:rsid w:val="00F72F77"/>
    <w:rsid w:val="00F7587C"/>
    <w:rsid w:val="00F76CA5"/>
    <w:rsid w:val="00F84AA9"/>
    <w:rsid w:val="00F93270"/>
    <w:rsid w:val="00F93493"/>
    <w:rsid w:val="00F94656"/>
    <w:rsid w:val="00F96EFA"/>
    <w:rsid w:val="00FA1064"/>
    <w:rsid w:val="00FA1C2B"/>
    <w:rsid w:val="00FA51A2"/>
    <w:rsid w:val="00FA6397"/>
    <w:rsid w:val="00FB0653"/>
    <w:rsid w:val="00FB2ACC"/>
    <w:rsid w:val="00FB5018"/>
    <w:rsid w:val="00FC28C7"/>
    <w:rsid w:val="00FD0A39"/>
    <w:rsid w:val="00FD2F06"/>
    <w:rsid w:val="00FE0AD7"/>
    <w:rsid w:val="00FE2A77"/>
    <w:rsid w:val="00FE5BD3"/>
    <w:rsid w:val="00FF40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5954E0A7-B8FC-4781-BEAB-43C17F2774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rsid w:val="0008776E"/>
    <w:pPr>
      <w:keepNext/>
      <w:keepLines/>
      <w:spacing w:before="480" w:after="0" w:line="360" w:lineRule="auto"/>
      <w:ind w:firstLine="709"/>
      <w:jc w:val="both"/>
      <w:outlineLvl w:val="0"/>
    </w:pPr>
    <w:rPr>
      <w:rFonts w:ascii="Times New Roman" w:hAnsi="Times New Roman"/>
      <w:b/>
      <w:bCs/>
      <w:color w:val="365F91"/>
      <w:sz w:val="28"/>
      <w:szCs w:val="28"/>
    </w:rPr>
  </w:style>
  <w:style w:type="paragraph" w:styleId="2">
    <w:name w:val="heading 2"/>
    <w:basedOn w:val="a"/>
    <w:next w:val="a"/>
    <w:link w:val="20"/>
    <w:autoRedefine/>
    <w:qFormat/>
    <w:rsid w:val="0053170F"/>
    <w:pPr>
      <w:keepNext/>
      <w:keepLines/>
      <w:spacing w:after="0" w:line="360" w:lineRule="auto"/>
      <w:jc w:val="right"/>
      <w:outlineLvl w:val="1"/>
    </w:pPr>
    <w:rPr>
      <w:rFonts w:ascii="Times New Roman" w:hAnsi="Times New Roman"/>
      <w:bCs/>
      <w:sz w:val="28"/>
      <w:szCs w:val="28"/>
      <w:lang w:eastAsia="ru-RU"/>
    </w:rPr>
  </w:style>
  <w:style w:type="paragraph" w:styleId="3">
    <w:name w:val="heading 3"/>
    <w:basedOn w:val="a"/>
    <w:next w:val="a"/>
    <w:link w:val="30"/>
    <w:autoRedefine/>
    <w:qFormat/>
    <w:rsid w:val="00C35E98"/>
    <w:pPr>
      <w:keepNext/>
      <w:keepLines/>
      <w:shd w:val="clear" w:color="auto" w:fill="FFFFFF" w:themeFill="background1"/>
      <w:spacing w:after="0" w:line="360" w:lineRule="auto"/>
      <w:jc w:val="both"/>
      <w:outlineLvl w:val="2"/>
    </w:pPr>
    <w:rPr>
      <w:rFonts w:ascii="Times New Roman" w:hAnsi="Times New Roman"/>
      <w:b/>
      <w:bCs/>
      <w:color w:val="4F81BD"/>
      <w:sz w:val="28"/>
      <w:lang w:eastAsia="ru-RU"/>
    </w:rPr>
  </w:style>
  <w:style w:type="paragraph" w:styleId="4">
    <w:name w:val="heading 4"/>
    <w:basedOn w:val="a"/>
    <w:next w:val="a"/>
    <w:link w:val="40"/>
    <w:qFormat/>
    <w:rsid w:val="0008776E"/>
    <w:pPr>
      <w:keepNext/>
      <w:keepLines/>
      <w:spacing w:before="200" w:after="0" w:line="360" w:lineRule="auto"/>
      <w:ind w:firstLine="709"/>
      <w:outlineLvl w:val="3"/>
    </w:pPr>
    <w:rPr>
      <w:rFonts w:ascii="Cambria" w:hAnsi="Cambria"/>
      <w:b/>
      <w:bCs/>
      <w:i/>
      <w:iCs/>
      <w:color w:val="4F81BD"/>
      <w:sz w:val="28"/>
    </w:rPr>
  </w:style>
  <w:style w:type="paragraph" w:styleId="9">
    <w:name w:val="heading 9"/>
    <w:basedOn w:val="a"/>
    <w:next w:val="a"/>
    <w:link w:val="90"/>
    <w:qFormat/>
    <w:rsid w:val="00F00885"/>
    <w:pPr>
      <w:spacing w:before="240" w:after="60" w:line="240" w:lineRule="auto"/>
      <w:outlineLvl w:val="8"/>
    </w:pPr>
    <w:rPr>
      <w:rFonts w:ascii="Cambria" w:eastAsia="Times New Roman" w:hAnsi="Cambr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9B0CE7"/>
    <w:rPr>
      <w:b/>
      <w:bCs/>
    </w:rPr>
  </w:style>
  <w:style w:type="character" w:customStyle="1" w:styleId="apple-converted-space">
    <w:name w:val="apple-converted-space"/>
    <w:basedOn w:val="a0"/>
    <w:rsid w:val="009B0CE7"/>
  </w:style>
  <w:style w:type="character" w:customStyle="1" w:styleId="Bodytext">
    <w:name w:val="Body text_"/>
    <w:link w:val="11"/>
    <w:rsid w:val="0008377E"/>
    <w:rPr>
      <w:rFonts w:ascii="Times New Roman" w:eastAsia="Times New Roman" w:hAnsi="Times New Roman" w:cs="Times New Roman"/>
      <w:spacing w:val="-1"/>
      <w:sz w:val="18"/>
      <w:szCs w:val="18"/>
      <w:shd w:val="clear" w:color="auto" w:fill="FFFFFF"/>
    </w:rPr>
  </w:style>
  <w:style w:type="paragraph" w:customStyle="1" w:styleId="11">
    <w:name w:val="Основной текст1"/>
    <w:basedOn w:val="a"/>
    <w:link w:val="Bodytext"/>
    <w:rsid w:val="0008377E"/>
    <w:pPr>
      <w:widowControl w:val="0"/>
      <w:shd w:val="clear" w:color="auto" w:fill="FFFFFF"/>
      <w:spacing w:before="300" w:after="300" w:line="0" w:lineRule="atLeast"/>
      <w:jc w:val="both"/>
    </w:pPr>
    <w:rPr>
      <w:rFonts w:ascii="Times New Roman" w:eastAsia="Times New Roman" w:hAnsi="Times New Roman"/>
      <w:spacing w:val="-1"/>
      <w:sz w:val="18"/>
      <w:szCs w:val="18"/>
    </w:rPr>
  </w:style>
  <w:style w:type="character" w:customStyle="1" w:styleId="BodytextItalicSpacing0pt">
    <w:name w:val="Body text + Italic;Spacing 0 pt"/>
    <w:rsid w:val="00D83C59"/>
    <w:rPr>
      <w:rFonts w:ascii="Times New Roman" w:eastAsia="Times New Roman" w:hAnsi="Times New Roman" w:cs="Times New Roman"/>
      <w:i/>
      <w:iCs/>
      <w:color w:val="000000"/>
      <w:spacing w:val="0"/>
      <w:w w:val="100"/>
      <w:position w:val="0"/>
      <w:sz w:val="18"/>
      <w:szCs w:val="18"/>
      <w:shd w:val="clear" w:color="auto" w:fill="FFFFFF"/>
      <w:lang w:val="ru-RU"/>
    </w:rPr>
  </w:style>
  <w:style w:type="character" w:customStyle="1" w:styleId="Bodytext75ptSpacing0pt">
    <w:name w:val="Body text + 7;5 pt;Spacing 0 pt"/>
    <w:rsid w:val="00D83C59"/>
    <w:rPr>
      <w:rFonts w:ascii="Times New Roman" w:eastAsia="Times New Roman" w:hAnsi="Times New Roman" w:cs="Times New Roman"/>
      <w:color w:val="000000"/>
      <w:spacing w:val="8"/>
      <w:w w:val="100"/>
      <w:position w:val="0"/>
      <w:sz w:val="15"/>
      <w:szCs w:val="15"/>
      <w:shd w:val="clear" w:color="auto" w:fill="FFFFFF"/>
      <w:lang w:val="ru-RU"/>
    </w:rPr>
  </w:style>
  <w:style w:type="character" w:customStyle="1" w:styleId="Bodytext5NotItalicSpacing0pt">
    <w:name w:val="Body text (5) + Not Italic;Spacing 0 pt"/>
    <w:rsid w:val="008252BD"/>
    <w:rPr>
      <w:rFonts w:ascii="Times New Roman" w:eastAsia="Times New Roman" w:hAnsi="Times New Roman" w:cs="Times New Roman"/>
      <w:b w:val="0"/>
      <w:bCs w:val="0"/>
      <w:i/>
      <w:iCs/>
      <w:smallCaps w:val="0"/>
      <w:strike w:val="0"/>
      <w:color w:val="000000"/>
      <w:spacing w:val="-1"/>
      <w:w w:val="100"/>
      <w:position w:val="0"/>
      <w:sz w:val="18"/>
      <w:szCs w:val="18"/>
      <w:u w:val="none"/>
      <w:lang w:val="ru-RU"/>
    </w:rPr>
  </w:style>
  <w:style w:type="character" w:customStyle="1" w:styleId="Bodytext5NotItalicSpacing1pt">
    <w:name w:val="Body text (5) + Not Italic;Spacing 1 pt"/>
    <w:rsid w:val="008252BD"/>
    <w:rPr>
      <w:rFonts w:ascii="Times New Roman" w:eastAsia="Times New Roman" w:hAnsi="Times New Roman" w:cs="Times New Roman"/>
      <w:b w:val="0"/>
      <w:bCs w:val="0"/>
      <w:i/>
      <w:iCs/>
      <w:smallCaps w:val="0"/>
      <w:strike w:val="0"/>
      <w:color w:val="000000"/>
      <w:spacing w:val="22"/>
      <w:w w:val="100"/>
      <w:position w:val="0"/>
      <w:sz w:val="18"/>
      <w:szCs w:val="18"/>
      <w:u w:val="none"/>
      <w:lang w:val="ru-RU"/>
    </w:rPr>
  </w:style>
  <w:style w:type="paragraph" w:styleId="a4">
    <w:name w:val="List Paragraph"/>
    <w:basedOn w:val="a"/>
    <w:link w:val="a5"/>
    <w:uiPriority w:val="99"/>
    <w:qFormat/>
    <w:rsid w:val="00BB280E"/>
    <w:pPr>
      <w:ind w:left="720"/>
      <w:contextualSpacing/>
    </w:pPr>
  </w:style>
  <w:style w:type="character" w:styleId="a6">
    <w:name w:val="Hyperlink"/>
    <w:uiPriority w:val="99"/>
    <w:unhideWhenUsed/>
    <w:rsid w:val="00BB280E"/>
    <w:rPr>
      <w:color w:val="0000FF"/>
      <w:u w:val="single"/>
    </w:rPr>
  </w:style>
  <w:style w:type="character" w:customStyle="1" w:styleId="Bodytext6ItalicSpacing0pt">
    <w:name w:val="Body text (6) + Italic;Spacing 0 pt"/>
    <w:rsid w:val="00BB280E"/>
    <w:rPr>
      <w:rFonts w:ascii="Times New Roman" w:eastAsia="Times New Roman" w:hAnsi="Times New Roman" w:cs="Times New Roman"/>
      <w:b w:val="0"/>
      <w:bCs w:val="0"/>
      <w:i/>
      <w:iCs/>
      <w:smallCaps w:val="0"/>
      <w:strike w:val="0"/>
      <w:color w:val="000000"/>
      <w:spacing w:val="-2"/>
      <w:w w:val="100"/>
      <w:position w:val="0"/>
      <w:sz w:val="15"/>
      <w:szCs w:val="15"/>
      <w:u w:val="none"/>
      <w:lang w:val="ru-RU"/>
    </w:rPr>
  </w:style>
  <w:style w:type="character" w:customStyle="1" w:styleId="10">
    <w:name w:val="Заголовок 1 Знак"/>
    <w:link w:val="1"/>
    <w:rsid w:val="0008776E"/>
    <w:rPr>
      <w:rFonts w:ascii="Times New Roman" w:eastAsia="Calibri" w:hAnsi="Times New Roman" w:cs="Times New Roman"/>
      <w:b/>
      <w:bCs/>
      <w:color w:val="365F91"/>
      <w:sz w:val="28"/>
      <w:szCs w:val="28"/>
    </w:rPr>
  </w:style>
  <w:style w:type="character" w:customStyle="1" w:styleId="20">
    <w:name w:val="Заголовок 2 Знак"/>
    <w:link w:val="2"/>
    <w:rsid w:val="0053170F"/>
    <w:rPr>
      <w:rFonts w:ascii="Times New Roman" w:eastAsia="Calibri" w:hAnsi="Times New Roman" w:cs="Times New Roman"/>
      <w:bCs/>
      <w:sz w:val="28"/>
      <w:szCs w:val="28"/>
      <w:lang w:eastAsia="ru-RU"/>
    </w:rPr>
  </w:style>
  <w:style w:type="character" w:customStyle="1" w:styleId="30">
    <w:name w:val="Заголовок 3 Знак"/>
    <w:link w:val="3"/>
    <w:rsid w:val="00C35E98"/>
    <w:rPr>
      <w:rFonts w:ascii="Times New Roman" w:hAnsi="Times New Roman"/>
      <w:b/>
      <w:bCs/>
      <w:color w:val="4F81BD"/>
      <w:sz w:val="28"/>
      <w:szCs w:val="22"/>
      <w:shd w:val="clear" w:color="auto" w:fill="FFFFFF" w:themeFill="background1"/>
    </w:rPr>
  </w:style>
  <w:style w:type="character" w:customStyle="1" w:styleId="40">
    <w:name w:val="Заголовок 4 Знак"/>
    <w:link w:val="4"/>
    <w:rsid w:val="0008776E"/>
    <w:rPr>
      <w:rFonts w:ascii="Cambria" w:eastAsia="Calibri" w:hAnsi="Cambria" w:cs="Times New Roman"/>
      <w:b/>
      <w:bCs/>
      <w:i/>
      <w:iCs/>
      <w:color w:val="4F81BD"/>
      <w:sz w:val="28"/>
    </w:rPr>
  </w:style>
  <w:style w:type="paragraph" w:styleId="a7">
    <w:name w:val="endnote text"/>
    <w:basedOn w:val="a"/>
    <w:link w:val="a8"/>
    <w:uiPriority w:val="99"/>
    <w:semiHidden/>
    <w:unhideWhenUsed/>
    <w:rsid w:val="0008776E"/>
    <w:pPr>
      <w:spacing w:after="0" w:line="240" w:lineRule="auto"/>
    </w:pPr>
    <w:rPr>
      <w:sz w:val="20"/>
      <w:szCs w:val="20"/>
    </w:rPr>
  </w:style>
  <w:style w:type="character" w:customStyle="1" w:styleId="a8">
    <w:name w:val="Текст концевой сноски Знак"/>
    <w:link w:val="a7"/>
    <w:uiPriority w:val="99"/>
    <w:semiHidden/>
    <w:rsid w:val="0008776E"/>
    <w:rPr>
      <w:sz w:val="20"/>
      <w:szCs w:val="20"/>
    </w:rPr>
  </w:style>
  <w:style w:type="character" w:styleId="a9">
    <w:name w:val="endnote reference"/>
    <w:uiPriority w:val="99"/>
    <w:semiHidden/>
    <w:unhideWhenUsed/>
    <w:rsid w:val="0008776E"/>
    <w:rPr>
      <w:vertAlign w:val="superscript"/>
    </w:rPr>
  </w:style>
  <w:style w:type="paragraph" w:styleId="aa">
    <w:name w:val="footnote text"/>
    <w:aliases w:val="Текст сноски Знак1,Текст сноски Знак Знак,Table_Footnote_last Знак1 Знак,Table_Footnote_last Знак Знак Знак Знак Знак,Table_Footnote_last Знак Знак Знак,Текст сноски Знак1 Знак Знак,Текст сноски Знак Знак Знак Знак,Текст сноски-FN,-++,Зна"/>
    <w:basedOn w:val="a"/>
    <w:link w:val="ab"/>
    <w:uiPriority w:val="99"/>
    <w:unhideWhenUsed/>
    <w:rsid w:val="0008776E"/>
    <w:pPr>
      <w:spacing w:after="0" w:line="240" w:lineRule="auto"/>
    </w:pPr>
    <w:rPr>
      <w:sz w:val="20"/>
      <w:szCs w:val="20"/>
    </w:rPr>
  </w:style>
  <w:style w:type="character" w:customStyle="1" w:styleId="ab">
    <w:name w:val="Текст сноски Знак"/>
    <w:aliases w:val="Текст сноски Знак1 Знак,Текст сноски Знак Знак Знак,Table_Footnote_last Знак1 Знак Знак,Table_Footnote_last Знак Знак Знак Знак Знак Знак,Table_Footnote_last Знак Знак Знак Знак,Текст сноски Знак1 Знак Знак Знак,Текст сноски-FN Знак"/>
    <w:link w:val="aa"/>
    <w:uiPriority w:val="99"/>
    <w:rsid w:val="0008776E"/>
    <w:rPr>
      <w:sz w:val="20"/>
      <w:szCs w:val="20"/>
    </w:rPr>
  </w:style>
  <w:style w:type="character" w:styleId="ac">
    <w:name w:val="footnote reference"/>
    <w:uiPriority w:val="99"/>
    <w:semiHidden/>
    <w:unhideWhenUsed/>
    <w:rsid w:val="0008776E"/>
    <w:rPr>
      <w:vertAlign w:val="superscript"/>
    </w:rPr>
  </w:style>
  <w:style w:type="paragraph" w:styleId="ad">
    <w:name w:val="header"/>
    <w:basedOn w:val="a"/>
    <w:link w:val="ae"/>
    <w:uiPriority w:val="99"/>
    <w:rsid w:val="0008776E"/>
    <w:pPr>
      <w:tabs>
        <w:tab w:val="center" w:pos="4677"/>
        <w:tab w:val="right" w:pos="9355"/>
      </w:tabs>
      <w:spacing w:after="0" w:line="240" w:lineRule="auto"/>
      <w:ind w:firstLine="709"/>
    </w:pPr>
    <w:rPr>
      <w:rFonts w:ascii="Times New Roman" w:eastAsia="Times New Roman" w:hAnsi="Times New Roman"/>
      <w:sz w:val="28"/>
    </w:rPr>
  </w:style>
  <w:style w:type="character" w:customStyle="1" w:styleId="ae">
    <w:name w:val="Верхний колонтитул Знак"/>
    <w:link w:val="ad"/>
    <w:uiPriority w:val="99"/>
    <w:rsid w:val="0008776E"/>
    <w:rPr>
      <w:rFonts w:ascii="Times New Roman" w:eastAsia="Times New Roman" w:hAnsi="Times New Roman" w:cs="Times New Roman"/>
      <w:sz w:val="28"/>
    </w:rPr>
  </w:style>
  <w:style w:type="paragraph" w:styleId="af">
    <w:name w:val="Balloon Text"/>
    <w:basedOn w:val="a"/>
    <w:link w:val="af0"/>
    <w:uiPriority w:val="99"/>
    <w:semiHidden/>
    <w:rsid w:val="0008776E"/>
    <w:pPr>
      <w:spacing w:after="0" w:line="240" w:lineRule="auto"/>
      <w:ind w:firstLine="709"/>
    </w:pPr>
    <w:rPr>
      <w:rFonts w:ascii="Tahoma" w:eastAsia="Times New Roman" w:hAnsi="Tahoma" w:cs="Tahoma"/>
      <w:sz w:val="16"/>
      <w:szCs w:val="16"/>
    </w:rPr>
  </w:style>
  <w:style w:type="character" w:customStyle="1" w:styleId="af0">
    <w:name w:val="Текст выноски Знак"/>
    <w:link w:val="af"/>
    <w:uiPriority w:val="99"/>
    <w:semiHidden/>
    <w:rsid w:val="0008776E"/>
    <w:rPr>
      <w:rFonts w:ascii="Tahoma" w:eastAsia="Times New Roman" w:hAnsi="Tahoma" w:cs="Tahoma"/>
      <w:sz w:val="16"/>
      <w:szCs w:val="16"/>
    </w:rPr>
  </w:style>
  <w:style w:type="paragraph" w:customStyle="1" w:styleId="12">
    <w:name w:val="Заголовок оглавления1"/>
    <w:basedOn w:val="1"/>
    <w:next w:val="a"/>
    <w:rsid w:val="0008776E"/>
    <w:pPr>
      <w:outlineLvl w:val="9"/>
    </w:pPr>
    <w:rPr>
      <w:lang w:eastAsia="ru-RU"/>
    </w:rPr>
  </w:style>
  <w:style w:type="paragraph" w:styleId="13">
    <w:name w:val="toc 1"/>
    <w:basedOn w:val="a"/>
    <w:next w:val="a"/>
    <w:autoRedefine/>
    <w:uiPriority w:val="39"/>
    <w:rsid w:val="0008776E"/>
    <w:pPr>
      <w:spacing w:before="240" w:after="120" w:line="360" w:lineRule="auto"/>
      <w:ind w:firstLine="709"/>
    </w:pPr>
    <w:rPr>
      <w:rFonts w:ascii="Times New Roman" w:eastAsia="Times New Roman" w:hAnsi="Times New Roman" w:cs="Calibri"/>
      <w:b/>
      <w:bCs/>
      <w:sz w:val="20"/>
      <w:szCs w:val="20"/>
    </w:rPr>
  </w:style>
  <w:style w:type="paragraph" w:styleId="21">
    <w:name w:val="toc 2"/>
    <w:basedOn w:val="a"/>
    <w:next w:val="a"/>
    <w:autoRedefine/>
    <w:uiPriority w:val="39"/>
    <w:rsid w:val="0008776E"/>
    <w:pPr>
      <w:tabs>
        <w:tab w:val="right" w:leader="dot" w:pos="9345"/>
      </w:tabs>
      <w:spacing w:before="120" w:after="0" w:line="360" w:lineRule="auto"/>
      <w:ind w:left="220" w:firstLine="914"/>
      <w:jc w:val="both"/>
    </w:pPr>
    <w:rPr>
      <w:rFonts w:ascii="Times New Roman" w:eastAsia="Times New Roman" w:hAnsi="Times New Roman" w:cs="Calibri"/>
      <w:i/>
      <w:iCs/>
      <w:sz w:val="20"/>
      <w:szCs w:val="20"/>
    </w:rPr>
  </w:style>
  <w:style w:type="paragraph" w:customStyle="1" w:styleId="af1">
    <w:name w:val="Обыкновенный"/>
    <w:basedOn w:val="1"/>
    <w:link w:val="af2"/>
    <w:rsid w:val="0008776E"/>
  </w:style>
  <w:style w:type="character" w:customStyle="1" w:styleId="af2">
    <w:name w:val="Обыкновенный Знак"/>
    <w:link w:val="af1"/>
    <w:locked/>
    <w:rsid w:val="0008776E"/>
    <w:rPr>
      <w:rFonts w:ascii="Times New Roman" w:eastAsia="Calibri" w:hAnsi="Times New Roman" w:cs="Times New Roman"/>
      <w:b/>
      <w:bCs/>
      <w:color w:val="365F91"/>
      <w:sz w:val="28"/>
      <w:szCs w:val="28"/>
    </w:rPr>
  </w:style>
  <w:style w:type="paragraph" w:styleId="31">
    <w:name w:val="toc 3"/>
    <w:basedOn w:val="a"/>
    <w:next w:val="a"/>
    <w:autoRedefine/>
    <w:uiPriority w:val="39"/>
    <w:rsid w:val="000E1EFA"/>
    <w:pPr>
      <w:tabs>
        <w:tab w:val="right" w:leader="dot" w:pos="9345"/>
      </w:tabs>
      <w:spacing w:after="0" w:line="360" w:lineRule="auto"/>
      <w:ind w:firstLine="851"/>
      <w:jc w:val="both"/>
    </w:pPr>
    <w:rPr>
      <w:rFonts w:ascii="Times New Roman" w:eastAsia="Times New Roman" w:hAnsi="Times New Roman" w:cs="Calibri"/>
      <w:sz w:val="20"/>
      <w:szCs w:val="20"/>
    </w:rPr>
  </w:style>
  <w:style w:type="paragraph" w:styleId="41">
    <w:name w:val="toc 4"/>
    <w:basedOn w:val="a"/>
    <w:next w:val="a"/>
    <w:autoRedefine/>
    <w:rsid w:val="0008776E"/>
    <w:pPr>
      <w:spacing w:after="0" w:line="360" w:lineRule="auto"/>
      <w:ind w:left="660" w:firstLine="709"/>
    </w:pPr>
    <w:rPr>
      <w:rFonts w:ascii="Times New Roman" w:eastAsia="Times New Roman" w:hAnsi="Times New Roman" w:cs="Calibri"/>
      <w:sz w:val="20"/>
      <w:szCs w:val="20"/>
    </w:rPr>
  </w:style>
  <w:style w:type="paragraph" w:styleId="5">
    <w:name w:val="toc 5"/>
    <w:basedOn w:val="a"/>
    <w:next w:val="a"/>
    <w:autoRedefine/>
    <w:rsid w:val="0008776E"/>
    <w:pPr>
      <w:spacing w:after="0" w:line="360" w:lineRule="auto"/>
      <w:ind w:left="880" w:firstLine="709"/>
    </w:pPr>
    <w:rPr>
      <w:rFonts w:ascii="Times New Roman" w:eastAsia="Times New Roman" w:hAnsi="Times New Roman" w:cs="Calibri"/>
      <w:sz w:val="20"/>
      <w:szCs w:val="20"/>
    </w:rPr>
  </w:style>
  <w:style w:type="paragraph" w:styleId="6">
    <w:name w:val="toc 6"/>
    <w:basedOn w:val="a"/>
    <w:next w:val="a"/>
    <w:autoRedefine/>
    <w:rsid w:val="0008776E"/>
    <w:pPr>
      <w:spacing w:after="0" w:line="360" w:lineRule="auto"/>
      <w:ind w:left="1100" w:firstLine="709"/>
    </w:pPr>
    <w:rPr>
      <w:rFonts w:ascii="Times New Roman" w:eastAsia="Times New Roman" w:hAnsi="Times New Roman" w:cs="Calibri"/>
      <w:sz w:val="20"/>
      <w:szCs w:val="20"/>
    </w:rPr>
  </w:style>
  <w:style w:type="paragraph" w:styleId="7">
    <w:name w:val="toc 7"/>
    <w:basedOn w:val="a"/>
    <w:next w:val="a"/>
    <w:autoRedefine/>
    <w:rsid w:val="0008776E"/>
    <w:pPr>
      <w:spacing w:after="0" w:line="360" w:lineRule="auto"/>
      <w:ind w:left="1320" w:firstLine="709"/>
    </w:pPr>
    <w:rPr>
      <w:rFonts w:ascii="Times New Roman" w:eastAsia="Times New Roman" w:hAnsi="Times New Roman" w:cs="Calibri"/>
      <w:sz w:val="20"/>
      <w:szCs w:val="20"/>
    </w:rPr>
  </w:style>
  <w:style w:type="paragraph" w:styleId="8">
    <w:name w:val="toc 8"/>
    <w:basedOn w:val="a"/>
    <w:next w:val="a"/>
    <w:autoRedefine/>
    <w:rsid w:val="0008776E"/>
    <w:pPr>
      <w:spacing w:after="0" w:line="360" w:lineRule="auto"/>
      <w:ind w:left="1540" w:firstLine="709"/>
    </w:pPr>
    <w:rPr>
      <w:rFonts w:ascii="Times New Roman" w:eastAsia="Times New Roman" w:hAnsi="Times New Roman" w:cs="Calibri"/>
      <w:sz w:val="20"/>
      <w:szCs w:val="20"/>
    </w:rPr>
  </w:style>
  <w:style w:type="paragraph" w:styleId="91">
    <w:name w:val="toc 9"/>
    <w:basedOn w:val="a"/>
    <w:next w:val="a"/>
    <w:autoRedefine/>
    <w:rsid w:val="0008776E"/>
    <w:pPr>
      <w:spacing w:after="0" w:line="360" w:lineRule="auto"/>
      <w:ind w:left="1760" w:firstLine="709"/>
    </w:pPr>
    <w:rPr>
      <w:rFonts w:ascii="Times New Roman" w:eastAsia="Times New Roman" w:hAnsi="Times New Roman" w:cs="Calibri"/>
      <w:sz w:val="20"/>
      <w:szCs w:val="20"/>
    </w:rPr>
  </w:style>
  <w:style w:type="paragraph" w:styleId="af3">
    <w:name w:val="Normal (Web)"/>
    <w:basedOn w:val="a"/>
    <w:rsid w:val="0008776E"/>
    <w:pPr>
      <w:spacing w:before="100" w:beforeAutospacing="1" w:after="100" w:afterAutospacing="1" w:line="240" w:lineRule="auto"/>
      <w:ind w:firstLine="709"/>
    </w:pPr>
    <w:rPr>
      <w:rFonts w:ascii="Times New Roman" w:hAnsi="Times New Roman"/>
      <w:sz w:val="24"/>
      <w:szCs w:val="24"/>
      <w:lang w:eastAsia="ru-RU"/>
    </w:rPr>
  </w:style>
  <w:style w:type="character" w:customStyle="1" w:styleId="FontStyle198">
    <w:name w:val="Font Style198"/>
    <w:rsid w:val="0008776E"/>
    <w:rPr>
      <w:rFonts w:ascii="Times New Roman" w:hAnsi="Times New Roman" w:cs="Times New Roman"/>
      <w:sz w:val="18"/>
      <w:szCs w:val="18"/>
    </w:rPr>
  </w:style>
  <w:style w:type="paragraph" w:customStyle="1" w:styleId="14">
    <w:name w:val="Абзац списка1"/>
    <w:basedOn w:val="a"/>
    <w:rsid w:val="0008776E"/>
    <w:pPr>
      <w:spacing w:after="0" w:line="360" w:lineRule="auto"/>
      <w:ind w:left="720" w:firstLine="709"/>
      <w:contextualSpacing/>
    </w:pPr>
    <w:rPr>
      <w:rFonts w:ascii="Times New Roman" w:eastAsia="Times New Roman" w:hAnsi="Times New Roman"/>
      <w:sz w:val="28"/>
    </w:rPr>
  </w:style>
  <w:style w:type="paragraph" w:customStyle="1" w:styleId="Style23">
    <w:name w:val="Style23"/>
    <w:basedOn w:val="a"/>
    <w:rsid w:val="0008776E"/>
    <w:pPr>
      <w:widowControl w:val="0"/>
      <w:autoSpaceDE w:val="0"/>
      <w:autoSpaceDN w:val="0"/>
      <w:adjustRightInd w:val="0"/>
      <w:spacing w:after="0" w:line="274" w:lineRule="exact"/>
      <w:ind w:firstLine="709"/>
      <w:jc w:val="both"/>
    </w:pPr>
    <w:rPr>
      <w:rFonts w:ascii="Times New Roman" w:hAnsi="Times New Roman"/>
      <w:sz w:val="24"/>
      <w:szCs w:val="24"/>
      <w:lang w:eastAsia="ru-RU"/>
    </w:rPr>
  </w:style>
  <w:style w:type="paragraph" w:customStyle="1" w:styleId="Style44">
    <w:name w:val="Style44"/>
    <w:basedOn w:val="a"/>
    <w:rsid w:val="0008776E"/>
    <w:pPr>
      <w:widowControl w:val="0"/>
      <w:autoSpaceDE w:val="0"/>
      <w:autoSpaceDN w:val="0"/>
      <w:adjustRightInd w:val="0"/>
      <w:spacing w:after="0" w:line="240" w:lineRule="auto"/>
      <w:ind w:firstLine="709"/>
    </w:pPr>
    <w:rPr>
      <w:rFonts w:ascii="Times New Roman" w:hAnsi="Times New Roman"/>
      <w:sz w:val="24"/>
      <w:szCs w:val="24"/>
      <w:lang w:eastAsia="ru-RU"/>
    </w:rPr>
  </w:style>
  <w:style w:type="paragraph" w:customStyle="1" w:styleId="Style48">
    <w:name w:val="Style48"/>
    <w:basedOn w:val="a"/>
    <w:rsid w:val="0008776E"/>
    <w:pPr>
      <w:widowControl w:val="0"/>
      <w:autoSpaceDE w:val="0"/>
      <w:autoSpaceDN w:val="0"/>
      <w:adjustRightInd w:val="0"/>
      <w:spacing w:after="0" w:line="230" w:lineRule="exact"/>
      <w:ind w:firstLine="709"/>
    </w:pPr>
    <w:rPr>
      <w:rFonts w:ascii="Times New Roman" w:hAnsi="Times New Roman"/>
      <w:sz w:val="24"/>
      <w:szCs w:val="24"/>
      <w:lang w:eastAsia="ru-RU"/>
    </w:rPr>
  </w:style>
  <w:style w:type="paragraph" w:customStyle="1" w:styleId="Style166">
    <w:name w:val="Style166"/>
    <w:basedOn w:val="a"/>
    <w:rsid w:val="0008776E"/>
    <w:pPr>
      <w:widowControl w:val="0"/>
      <w:autoSpaceDE w:val="0"/>
      <w:autoSpaceDN w:val="0"/>
      <w:adjustRightInd w:val="0"/>
      <w:spacing w:after="0" w:line="230" w:lineRule="exact"/>
      <w:ind w:firstLine="709"/>
      <w:jc w:val="center"/>
    </w:pPr>
    <w:rPr>
      <w:rFonts w:ascii="Times New Roman" w:hAnsi="Times New Roman"/>
      <w:sz w:val="24"/>
      <w:szCs w:val="24"/>
      <w:lang w:eastAsia="ru-RU"/>
    </w:rPr>
  </w:style>
  <w:style w:type="character" w:customStyle="1" w:styleId="FontStyle197">
    <w:name w:val="Font Style197"/>
    <w:rsid w:val="0008776E"/>
    <w:rPr>
      <w:rFonts w:ascii="Times New Roman" w:hAnsi="Times New Roman" w:cs="Times New Roman"/>
      <w:b/>
      <w:bCs/>
      <w:sz w:val="22"/>
      <w:szCs w:val="22"/>
    </w:rPr>
  </w:style>
  <w:style w:type="character" w:customStyle="1" w:styleId="FontStyle199">
    <w:name w:val="Font Style199"/>
    <w:rsid w:val="0008776E"/>
    <w:rPr>
      <w:rFonts w:ascii="Times New Roman" w:hAnsi="Times New Roman" w:cs="Times New Roman"/>
      <w:i/>
      <w:iCs/>
      <w:sz w:val="18"/>
      <w:szCs w:val="18"/>
    </w:rPr>
  </w:style>
  <w:style w:type="paragraph" w:customStyle="1" w:styleId="Style9">
    <w:name w:val="Style9"/>
    <w:basedOn w:val="a"/>
    <w:rsid w:val="0008776E"/>
    <w:pPr>
      <w:widowControl w:val="0"/>
      <w:autoSpaceDE w:val="0"/>
      <w:autoSpaceDN w:val="0"/>
      <w:adjustRightInd w:val="0"/>
      <w:spacing w:after="0" w:line="274" w:lineRule="exact"/>
      <w:ind w:firstLine="709"/>
      <w:jc w:val="both"/>
    </w:pPr>
    <w:rPr>
      <w:rFonts w:ascii="Times New Roman" w:hAnsi="Times New Roman"/>
      <w:sz w:val="24"/>
      <w:szCs w:val="24"/>
      <w:lang w:eastAsia="ru-RU"/>
    </w:rPr>
  </w:style>
  <w:style w:type="character" w:customStyle="1" w:styleId="FontStyle200">
    <w:name w:val="Font Style200"/>
    <w:rsid w:val="0008776E"/>
    <w:rPr>
      <w:rFonts w:ascii="Times New Roman" w:hAnsi="Times New Roman" w:cs="Times New Roman"/>
      <w:sz w:val="22"/>
      <w:szCs w:val="22"/>
    </w:rPr>
  </w:style>
  <w:style w:type="character" w:styleId="af4">
    <w:name w:val="FollowedHyperlink"/>
    <w:uiPriority w:val="99"/>
    <w:semiHidden/>
    <w:rsid w:val="0008776E"/>
    <w:rPr>
      <w:rFonts w:cs="Times New Roman"/>
      <w:color w:val="800080"/>
      <w:u w:val="single"/>
    </w:rPr>
  </w:style>
  <w:style w:type="paragraph" w:styleId="af5">
    <w:name w:val="footer"/>
    <w:basedOn w:val="a"/>
    <w:link w:val="af6"/>
    <w:uiPriority w:val="99"/>
    <w:rsid w:val="0008776E"/>
    <w:pPr>
      <w:tabs>
        <w:tab w:val="center" w:pos="4677"/>
        <w:tab w:val="right" w:pos="9355"/>
      </w:tabs>
      <w:spacing w:after="0" w:line="240" w:lineRule="auto"/>
      <w:ind w:firstLine="709"/>
    </w:pPr>
    <w:rPr>
      <w:rFonts w:ascii="Times New Roman" w:eastAsia="Times New Roman" w:hAnsi="Times New Roman"/>
      <w:sz w:val="28"/>
    </w:rPr>
  </w:style>
  <w:style w:type="character" w:customStyle="1" w:styleId="af6">
    <w:name w:val="Нижний колонтитул Знак"/>
    <w:link w:val="af5"/>
    <w:uiPriority w:val="99"/>
    <w:rsid w:val="0008776E"/>
    <w:rPr>
      <w:rFonts w:ascii="Times New Roman" w:eastAsia="Times New Roman" w:hAnsi="Times New Roman" w:cs="Times New Roman"/>
      <w:sz w:val="28"/>
    </w:rPr>
  </w:style>
  <w:style w:type="paragraph" w:styleId="af7">
    <w:name w:val="Title"/>
    <w:basedOn w:val="a"/>
    <w:link w:val="af8"/>
    <w:qFormat/>
    <w:rsid w:val="0008776E"/>
    <w:pPr>
      <w:spacing w:after="0" w:line="240" w:lineRule="auto"/>
      <w:jc w:val="center"/>
    </w:pPr>
    <w:rPr>
      <w:rFonts w:ascii="Times New Roman" w:hAnsi="Times New Roman"/>
      <w:b/>
      <w:bCs/>
      <w:sz w:val="28"/>
      <w:szCs w:val="28"/>
      <w:lang w:eastAsia="ru-RU"/>
    </w:rPr>
  </w:style>
  <w:style w:type="character" w:customStyle="1" w:styleId="af8">
    <w:name w:val="Название Знак"/>
    <w:link w:val="af7"/>
    <w:rsid w:val="0008776E"/>
    <w:rPr>
      <w:rFonts w:ascii="Times New Roman" w:eastAsia="Calibri" w:hAnsi="Times New Roman" w:cs="Times New Roman"/>
      <w:b/>
      <w:bCs/>
      <w:sz w:val="28"/>
      <w:szCs w:val="28"/>
      <w:lang w:eastAsia="ru-RU"/>
    </w:rPr>
  </w:style>
  <w:style w:type="paragraph" w:styleId="22">
    <w:name w:val="Body Text Indent 2"/>
    <w:basedOn w:val="a"/>
    <w:link w:val="23"/>
    <w:semiHidden/>
    <w:rsid w:val="0008776E"/>
    <w:pPr>
      <w:spacing w:after="0" w:line="360" w:lineRule="auto"/>
      <w:ind w:firstLine="709"/>
      <w:jc w:val="both"/>
    </w:pPr>
    <w:rPr>
      <w:rFonts w:ascii="Times New Roman" w:hAnsi="Times New Roman"/>
      <w:sz w:val="28"/>
      <w:szCs w:val="20"/>
      <w:lang w:eastAsia="ru-RU"/>
    </w:rPr>
  </w:style>
  <w:style w:type="character" w:customStyle="1" w:styleId="23">
    <w:name w:val="Основной текст с отступом 2 Знак"/>
    <w:link w:val="22"/>
    <w:semiHidden/>
    <w:rsid w:val="0008776E"/>
    <w:rPr>
      <w:rFonts w:ascii="Times New Roman" w:eastAsia="Calibri" w:hAnsi="Times New Roman" w:cs="Times New Roman"/>
      <w:sz w:val="28"/>
      <w:szCs w:val="20"/>
      <w:lang w:eastAsia="ru-RU"/>
    </w:rPr>
  </w:style>
  <w:style w:type="table" w:styleId="af9">
    <w:name w:val="Table Grid"/>
    <w:basedOn w:val="a1"/>
    <w:uiPriority w:val="59"/>
    <w:rsid w:val="0008776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Iauiue">
    <w:name w:val="Iau.iue"/>
    <w:basedOn w:val="a"/>
    <w:next w:val="a"/>
    <w:rsid w:val="0008776E"/>
    <w:pPr>
      <w:autoSpaceDE w:val="0"/>
      <w:autoSpaceDN w:val="0"/>
      <w:adjustRightInd w:val="0"/>
      <w:spacing w:after="0" w:line="240" w:lineRule="auto"/>
    </w:pPr>
    <w:rPr>
      <w:rFonts w:ascii="Times New Roman" w:eastAsia="Times New Roman" w:hAnsi="Times New Roman"/>
      <w:sz w:val="24"/>
      <w:szCs w:val="24"/>
    </w:rPr>
  </w:style>
  <w:style w:type="paragraph" w:customStyle="1" w:styleId="42">
    <w:name w:val="стиль4"/>
    <w:basedOn w:val="a"/>
    <w:rsid w:val="0008776E"/>
    <w:pPr>
      <w:spacing w:before="100" w:beforeAutospacing="1" w:after="100" w:afterAutospacing="1" w:line="240" w:lineRule="auto"/>
    </w:pPr>
    <w:rPr>
      <w:rFonts w:ascii="Times New Roman" w:hAnsi="Times New Roman"/>
      <w:sz w:val="24"/>
      <w:szCs w:val="24"/>
      <w:lang w:eastAsia="ru-RU"/>
    </w:rPr>
  </w:style>
  <w:style w:type="paragraph" w:customStyle="1" w:styleId="15">
    <w:name w:val="Без интервала1"/>
    <w:rsid w:val="0008776E"/>
    <w:pPr>
      <w:ind w:firstLine="709"/>
    </w:pPr>
    <w:rPr>
      <w:rFonts w:ascii="Times New Roman" w:eastAsia="Times New Roman" w:hAnsi="Times New Roman"/>
      <w:sz w:val="28"/>
      <w:szCs w:val="22"/>
      <w:lang w:eastAsia="en-US"/>
    </w:rPr>
  </w:style>
  <w:style w:type="table" w:customStyle="1" w:styleId="16">
    <w:name w:val="Сетка таблицы1"/>
    <w:rsid w:val="0008776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
    <w:name w:val="Замещающий текст1"/>
    <w:semiHidden/>
    <w:rsid w:val="0008776E"/>
    <w:rPr>
      <w:rFonts w:cs="Times New Roman"/>
      <w:color w:val="808080"/>
    </w:rPr>
  </w:style>
  <w:style w:type="table" w:customStyle="1" w:styleId="24">
    <w:name w:val="Сетка таблицы2"/>
    <w:rsid w:val="0008776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rsid w:val="0008776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7">
    <w:name w:val="xl67"/>
    <w:basedOn w:val="a"/>
    <w:rsid w:val="0008776E"/>
    <w:pPr>
      <w:spacing w:before="100" w:beforeAutospacing="1" w:after="100" w:afterAutospacing="1" w:line="240" w:lineRule="auto"/>
    </w:pPr>
    <w:rPr>
      <w:rFonts w:ascii="Times New Roman" w:hAnsi="Times New Roman"/>
      <w:b/>
      <w:bCs/>
      <w:sz w:val="24"/>
      <w:szCs w:val="24"/>
      <w:lang w:eastAsia="ru-RU"/>
    </w:rPr>
  </w:style>
  <w:style w:type="paragraph" w:customStyle="1" w:styleId="xl68">
    <w:name w:val="xl68"/>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9">
    <w:name w:val="xl69"/>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0">
    <w:name w:val="xl70"/>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lang w:eastAsia="ru-RU"/>
    </w:rPr>
  </w:style>
  <w:style w:type="paragraph" w:customStyle="1" w:styleId="xl71">
    <w:name w:val="xl71"/>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72">
    <w:name w:val="xl72"/>
    <w:basedOn w:val="a"/>
    <w:rsid w:val="0008776E"/>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hAnsi="Times New Roman"/>
      <w:sz w:val="24"/>
      <w:szCs w:val="24"/>
      <w:lang w:eastAsia="ru-RU"/>
    </w:rPr>
  </w:style>
  <w:style w:type="paragraph" w:customStyle="1" w:styleId="xl73">
    <w:name w:val="xl73"/>
    <w:basedOn w:val="a"/>
    <w:rsid w:val="0008776E"/>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hAnsi="Times New Roman"/>
      <w:b/>
      <w:bCs/>
      <w:sz w:val="24"/>
      <w:szCs w:val="24"/>
      <w:lang w:eastAsia="ru-RU"/>
    </w:rPr>
  </w:style>
  <w:style w:type="paragraph" w:customStyle="1" w:styleId="xl74">
    <w:name w:val="xl74"/>
    <w:basedOn w:val="a"/>
    <w:rsid w:val="0008776E"/>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hAnsi="Times New Roman"/>
      <w:sz w:val="24"/>
      <w:szCs w:val="24"/>
      <w:lang w:eastAsia="ru-RU"/>
    </w:rPr>
  </w:style>
  <w:style w:type="paragraph" w:customStyle="1" w:styleId="xl75">
    <w:name w:val="xl75"/>
    <w:basedOn w:val="a"/>
    <w:rsid w:val="0008776E"/>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hAnsi="Times New Roman"/>
      <w:sz w:val="24"/>
      <w:szCs w:val="24"/>
      <w:lang w:eastAsia="ru-RU"/>
    </w:rPr>
  </w:style>
  <w:style w:type="paragraph" w:customStyle="1" w:styleId="xl76">
    <w:name w:val="xl76"/>
    <w:basedOn w:val="a"/>
    <w:rsid w:val="0008776E"/>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hAnsi="Times New Roman"/>
      <w:sz w:val="24"/>
      <w:szCs w:val="24"/>
      <w:lang w:eastAsia="ru-RU"/>
    </w:rPr>
  </w:style>
  <w:style w:type="paragraph" w:customStyle="1" w:styleId="xl77">
    <w:name w:val="xl77"/>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78">
    <w:name w:val="xl78"/>
    <w:basedOn w:val="a"/>
    <w:rsid w:val="0008776E"/>
    <w:pPr>
      <w:spacing w:before="100" w:beforeAutospacing="1" w:after="100" w:afterAutospacing="1" w:line="240" w:lineRule="auto"/>
    </w:pPr>
    <w:rPr>
      <w:rFonts w:ascii="Times New Roman" w:hAnsi="Times New Roman"/>
      <w:sz w:val="24"/>
      <w:szCs w:val="24"/>
      <w:lang w:eastAsia="ru-RU"/>
    </w:rPr>
  </w:style>
  <w:style w:type="paragraph" w:customStyle="1" w:styleId="xl79">
    <w:name w:val="xl79"/>
    <w:basedOn w:val="a"/>
    <w:rsid w:val="0008776E"/>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hAnsi="Times New Roman"/>
      <w:b/>
      <w:bCs/>
      <w:sz w:val="24"/>
      <w:szCs w:val="24"/>
      <w:lang w:eastAsia="ru-RU"/>
    </w:rPr>
  </w:style>
  <w:style w:type="paragraph" w:customStyle="1" w:styleId="xl80">
    <w:name w:val="xl80"/>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81">
    <w:name w:val="xl81"/>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82">
    <w:name w:val="xl82"/>
    <w:basedOn w:val="a"/>
    <w:rsid w:val="000877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b/>
      <w:bCs/>
      <w:sz w:val="24"/>
      <w:szCs w:val="24"/>
      <w:lang w:eastAsia="ru-RU"/>
    </w:rPr>
  </w:style>
  <w:style w:type="paragraph" w:customStyle="1" w:styleId="xl83">
    <w:name w:val="xl83"/>
    <w:basedOn w:val="a"/>
    <w:rsid w:val="0008776E"/>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hAnsi="Times New Roman"/>
      <w:b/>
      <w:bCs/>
      <w:sz w:val="24"/>
      <w:szCs w:val="24"/>
      <w:lang w:eastAsia="ru-RU"/>
    </w:rPr>
  </w:style>
  <w:style w:type="paragraph" w:customStyle="1" w:styleId="xl84">
    <w:name w:val="xl84"/>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85">
    <w:name w:val="xl85"/>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FF0000"/>
      <w:sz w:val="24"/>
      <w:szCs w:val="24"/>
      <w:lang w:eastAsia="ru-RU"/>
    </w:rPr>
  </w:style>
  <w:style w:type="paragraph" w:customStyle="1" w:styleId="xl86">
    <w:name w:val="xl86"/>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sz w:val="24"/>
      <w:szCs w:val="24"/>
      <w:lang w:eastAsia="ru-RU"/>
    </w:rPr>
  </w:style>
  <w:style w:type="paragraph" w:customStyle="1" w:styleId="xl87">
    <w:name w:val="xl87"/>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88">
    <w:name w:val="xl88"/>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9">
    <w:name w:val="xl89"/>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hAnsi="Times New Roman"/>
      <w:sz w:val="24"/>
      <w:szCs w:val="24"/>
      <w:lang w:eastAsia="ru-RU"/>
    </w:rPr>
  </w:style>
  <w:style w:type="paragraph" w:customStyle="1" w:styleId="xl90">
    <w:name w:val="xl90"/>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hAnsi="Times New Roman"/>
      <w:b/>
      <w:bCs/>
      <w:sz w:val="24"/>
      <w:szCs w:val="24"/>
      <w:lang w:eastAsia="ru-RU"/>
    </w:rPr>
  </w:style>
  <w:style w:type="paragraph" w:customStyle="1" w:styleId="xl91">
    <w:name w:val="xl91"/>
    <w:basedOn w:val="a"/>
    <w:rsid w:val="0008776E"/>
    <w:pPr>
      <w:spacing w:before="100" w:beforeAutospacing="1" w:after="100" w:afterAutospacing="1" w:line="240" w:lineRule="auto"/>
      <w:jc w:val="center"/>
    </w:pPr>
    <w:rPr>
      <w:rFonts w:ascii="Times New Roman" w:hAnsi="Times New Roman"/>
      <w:sz w:val="24"/>
      <w:szCs w:val="24"/>
      <w:lang w:eastAsia="ru-RU"/>
    </w:rPr>
  </w:style>
  <w:style w:type="paragraph" w:customStyle="1" w:styleId="xl92">
    <w:name w:val="xl92"/>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hAnsi="Times New Roman"/>
      <w:color w:val="FF0000"/>
      <w:sz w:val="24"/>
      <w:szCs w:val="24"/>
      <w:lang w:eastAsia="ru-RU"/>
    </w:rPr>
  </w:style>
  <w:style w:type="paragraph" w:customStyle="1" w:styleId="xl93">
    <w:name w:val="xl93"/>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hAnsi="Times New Roman"/>
      <w:color w:val="FF0000"/>
      <w:sz w:val="24"/>
      <w:szCs w:val="24"/>
      <w:lang w:eastAsia="ru-RU"/>
    </w:rPr>
  </w:style>
  <w:style w:type="paragraph" w:customStyle="1" w:styleId="xl94">
    <w:name w:val="xl94"/>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hAnsi="Times New Roman"/>
      <w:b/>
      <w:bCs/>
      <w:color w:val="FF0000"/>
      <w:sz w:val="24"/>
      <w:szCs w:val="24"/>
      <w:lang w:eastAsia="ru-RU"/>
    </w:rPr>
  </w:style>
  <w:style w:type="paragraph" w:customStyle="1" w:styleId="xl95">
    <w:name w:val="xl95"/>
    <w:basedOn w:val="a"/>
    <w:rsid w:val="0008776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color w:val="FF0000"/>
      <w:sz w:val="24"/>
      <w:szCs w:val="24"/>
      <w:lang w:eastAsia="ru-RU"/>
    </w:rPr>
  </w:style>
  <w:style w:type="paragraph" w:customStyle="1" w:styleId="xl96">
    <w:name w:val="xl96"/>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hAnsi="Times New Roman"/>
      <w:color w:val="FF0000"/>
      <w:sz w:val="24"/>
      <w:szCs w:val="24"/>
      <w:lang w:eastAsia="ru-RU"/>
    </w:rPr>
  </w:style>
  <w:style w:type="paragraph" w:customStyle="1" w:styleId="xl97">
    <w:name w:val="xl97"/>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color w:val="FF0000"/>
      <w:sz w:val="24"/>
      <w:szCs w:val="24"/>
      <w:lang w:eastAsia="ru-RU"/>
    </w:rPr>
  </w:style>
  <w:style w:type="paragraph" w:customStyle="1" w:styleId="xl98">
    <w:name w:val="xl98"/>
    <w:basedOn w:val="a"/>
    <w:rsid w:val="0008776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b/>
      <w:bCs/>
      <w:color w:val="FF0000"/>
      <w:sz w:val="24"/>
      <w:szCs w:val="24"/>
      <w:lang w:eastAsia="ru-RU"/>
    </w:rPr>
  </w:style>
  <w:style w:type="character" w:styleId="afa">
    <w:name w:val="Placeholder Text"/>
    <w:uiPriority w:val="99"/>
    <w:semiHidden/>
    <w:rsid w:val="0008776E"/>
    <w:rPr>
      <w:color w:val="808080"/>
    </w:rPr>
  </w:style>
  <w:style w:type="numbering" w:customStyle="1" w:styleId="18">
    <w:name w:val="Нет списка1"/>
    <w:next w:val="a2"/>
    <w:uiPriority w:val="99"/>
    <w:semiHidden/>
    <w:unhideWhenUsed/>
    <w:rsid w:val="0008776E"/>
  </w:style>
  <w:style w:type="paragraph" w:customStyle="1" w:styleId="25">
    <w:name w:val="Заголовок оглавления2"/>
    <w:basedOn w:val="1"/>
    <w:next w:val="a"/>
    <w:rsid w:val="0089323C"/>
    <w:pPr>
      <w:outlineLvl w:val="9"/>
    </w:pPr>
    <w:rPr>
      <w:lang w:eastAsia="ru-RU"/>
    </w:rPr>
  </w:style>
  <w:style w:type="paragraph" w:customStyle="1" w:styleId="26">
    <w:name w:val="Абзац списка2"/>
    <w:basedOn w:val="a"/>
    <w:rsid w:val="0089323C"/>
    <w:pPr>
      <w:spacing w:after="0" w:line="360" w:lineRule="auto"/>
      <w:ind w:left="720" w:firstLine="709"/>
      <w:contextualSpacing/>
    </w:pPr>
    <w:rPr>
      <w:rFonts w:ascii="Times New Roman" w:eastAsia="Times New Roman" w:hAnsi="Times New Roman"/>
      <w:sz w:val="28"/>
    </w:rPr>
  </w:style>
  <w:style w:type="paragraph" w:customStyle="1" w:styleId="27">
    <w:name w:val="Без интервала2"/>
    <w:rsid w:val="0089323C"/>
    <w:pPr>
      <w:ind w:firstLine="709"/>
    </w:pPr>
    <w:rPr>
      <w:rFonts w:ascii="Times New Roman" w:eastAsia="Times New Roman" w:hAnsi="Times New Roman"/>
      <w:sz w:val="28"/>
      <w:szCs w:val="22"/>
      <w:lang w:eastAsia="en-US"/>
    </w:rPr>
  </w:style>
  <w:style w:type="character" w:customStyle="1" w:styleId="28">
    <w:name w:val="Замещающий текст2"/>
    <w:semiHidden/>
    <w:rsid w:val="0089323C"/>
    <w:rPr>
      <w:rFonts w:cs="Times New Roman"/>
      <w:color w:val="808080"/>
    </w:rPr>
  </w:style>
  <w:style w:type="character" w:customStyle="1" w:styleId="BodytextSpacing0pt">
    <w:name w:val="Body text + Spacing 0 pt"/>
    <w:rsid w:val="00E56509"/>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ru-RU"/>
    </w:rPr>
  </w:style>
  <w:style w:type="character" w:styleId="afb">
    <w:name w:val="annotation reference"/>
    <w:uiPriority w:val="99"/>
    <w:semiHidden/>
    <w:unhideWhenUsed/>
    <w:rsid w:val="00DD0BE5"/>
    <w:rPr>
      <w:sz w:val="16"/>
      <w:szCs w:val="16"/>
    </w:rPr>
  </w:style>
  <w:style w:type="paragraph" w:styleId="afc">
    <w:name w:val="annotation text"/>
    <w:basedOn w:val="a"/>
    <w:link w:val="afd"/>
    <w:uiPriority w:val="99"/>
    <w:semiHidden/>
    <w:unhideWhenUsed/>
    <w:rsid w:val="00DD0BE5"/>
    <w:pPr>
      <w:spacing w:after="0" w:line="240" w:lineRule="auto"/>
      <w:ind w:firstLine="709"/>
    </w:pPr>
    <w:rPr>
      <w:rFonts w:ascii="Times New Roman" w:eastAsia="Times New Roman" w:hAnsi="Times New Roman"/>
      <w:sz w:val="20"/>
      <w:szCs w:val="20"/>
    </w:rPr>
  </w:style>
  <w:style w:type="character" w:customStyle="1" w:styleId="afd">
    <w:name w:val="Текст примечания Знак"/>
    <w:link w:val="afc"/>
    <w:uiPriority w:val="99"/>
    <w:semiHidden/>
    <w:rsid w:val="00DD0BE5"/>
    <w:rPr>
      <w:rFonts w:ascii="Times New Roman" w:eastAsia="Times New Roman" w:hAnsi="Times New Roman" w:cs="Times New Roman"/>
      <w:sz w:val="20"/>
      <w:szCs w:val="20"/>
    </w:rPr>
  </w:style>
  <w:style w:type="character" w:customStyle="1" w:styleId="90">
    <w:name w:val="Заголовок 9 Знак"/>
    <w:link w:val="9"/>
    <w:rsid w:val="00F00885"/>
    <w:rPr>
      <w:rFonts w:ascii="Cambria" w:eastAsia="Times New Roman" w:hAnsi="Cambria" w:cs="Times New Roman"/>
      <w:lang w:eastAsia="ru-RU"/>
    </w:rPr>
  </w:style>
  <w:style w:type="paragraph" w:styleId="afe">
    <w:name w:val="Body Text Indent"/>
    <w:basedOn w:val="a"/>
    <w:link w:val="aff"/>
    <w:uiPriority w:val="99"/>
    <w:semiHidden/>
    <w:unhideWhenUsed/>
    <w:rsid w:val="00DB6D00"/>
    <w:pPr>
      <w:spacing w:after="120"/>
      <w:ind w:left="283"/>
    </w:pPr>
  </w:style>
  <w:style w:type="character" w:customStyle="1" w:styleId="aff">
    <w:name w:val="Основной текст с отступом Знак"/>
    <w:basedOn w:val="a0"/>
    <w:link w:val="afe"/>
    <w:uiPriority w:val="99"/>
    <w:semiHidden/>
    <w:rsid w:val="00DB6D00"/>
  </w:style>
  <w:style w:type="character" w:customStyle="1" w:styleId="edition">
    <w:name w:val="edition"/>
    <w:basedOn w:val="a0"/>
    <w:rsid w:val="00A10443"/>
  </w:style>
  <w:style w:type="character" w:customStyle="1" w:styleId="num">
    <w:name w:val="num"/>
    <w:basedOn w:val="a0"/>
    <w:rsid w:val="00A10443"/>
  </w:style>
  <w:style w:type="paragraph" w:styleId="29">
    <w:name w:val="Body Text 2"/>
    <w:basedOn w:val="a"/>
    <w:link w:val="2a"/>
    <w:uiPriority w:val="99"/>
    <w:semiHidden/>
    <w:unhideWhenUsed/>
    <w:rsid w:val="004642CA"/>
    <w:pPr>
      <w:spacing w:after="120" w:line="480" w:lineRule="auto"/>
    </w:pPr>
  </w:style>
  <w:style w:type="character" w:customStyle="1" w:styleId="2a">
    <w:name w:val="Основной текст 2 Знак"/>
    <w:basedOn w:val="a0"/>
    <w:link w:val="29"/>
    <w:uiPriority w:val="99"/>
    <w:semiHidden/>
    <w:rsid w:val="004642CA"/>
  </w:style>
  <w:style w:type="paragraph" w:styleId="aff0">
    <w:name w:val="TOC Heading"/>
    <w:basedOn w:val="1"/>
    <w:next w:val="a"/>
    <w:uiPriority w:val="39"/>
    <w:unhideWhenUsed/>
    <w:qFormat/>
    <w:rsid w:val="00551AEB"/>
    <w:pPr>
      <w:spacing w:before="240" w:line="259" w:lineRule="auto"/>
      <w:ind w:firstLine="0"/>
      <w:jc w:val="left"/>
      <w:outlineLvl w:val="9"/>
    </w:pPr>
    <w:rPr>
      <w:rFonts w:ascii="Cambria" w:eastAsia="Times New Roman" w:hAnsi="Cambria"/>
      <w:b w:val="0"/>
      <w:bCs w:val="0"/>
      <w:sz w:val="32"/>
      <w:szCs w:val="32"/>
      <w:lang w:eastAsia="ru-RU"/>
    </w:rPr>
  </w:style>
  <w:style w:type="paragraph" w:styleId="aff1">
    <w:name w:val="Body Text"/>
    <w:basedOn w:val="a"/>
    <w:link w:val="aff2"/>
    <w:uiPriority w:val="99"/>
    <w:rsid w:val="00302EE3"/>
    <w:pPr>
      <w:spacing w:after="120"/>
    </w:pPr>
  </w:style>
  <w:style w:type="character" w:customStyle="1" w:styleId="aff2">
    <w:name w:val="Основной текст Знак"/>
    <w:link w:val="aff1"/>
    <w:uiPriority w:val="99"/>
    <w:rsid w:val="00302EE3"/>
    <w:rPr>
      <w:rFonts w:ascii="Calibri" w:eastAsia="Calibri" w:hAnsi="Calibri" w:cs="Times New Roman"/>
    </w:rPr>
  </w:style>
  <w:style w:type="paragraph" w:customStyle="1" w:styleId="Default">
    <w:name w:val="Default"/>
    <w:uiPriority w:val="99"/>
    <w:rsid w:val="00EC4F23"/>
    <w:pPr>
      <w:autoSpaceDE w:val="0"/>
      <w:autoSpaceDN w:val="0"/>
      <w:adjustRightInd w:val="0"/>
    </w:pPr>
    <w:rPr>
      <w:rFonts w:ascii="Times New Roman" w:hAnsi="Times New Roman"/>
      <w:color w:val="000000"/>
      <w:sz w:val="24"/>
      <w:szCs w:val="24"/>
    </w:rPr>
  </w:style>
  <w:style w:type="character" w:styleId="HTML">
    <w:name w:val="HTML Cite"/>
    <w:uiPriority w:val="99"/>
    <w:semiHidden/>
    <w:rsid w:val="00EC4F23"/>
    <w:rPr>
      <w:rFonts w:cs="Times New Roman"/>
      <w:i/>
      <w:iCs/>
    </w:rPr>
  </w:style>
  <w:style w:type="character" w:customStyle="1" w:styleId="a5">
    <w:name w:val="Абзац списка Знак"/>
    <w:link w:val="a4"/>
    <w:uiPriority w:val="99"/>
    <w:locked/>
    <w:rsid w:val="00EC4F23"/>
  </w:style>
  <w:style w:type="character" w:customStyle="1" w:styleId="st">
    <w:name w:val="st"/>
    <w:uiPriority w:val="99"/>
    <w:rsid w:val="00EC4F23"/>
    <w:rPr>
      <w:rFonts w:cs="Times New Roman"/>
    </w:rPr>
  </w:style>
  <w:style w:type="character" w:styleId="aff3">
    <w:name w:val="Emphasis"/>
    <w:uiPriority w:val="99"/>
    <w:qFormat/>
    <w:rsid w:val="00EC4F23"/>
    <w:rPr>
      <w:rFonts w:cs="Times New Roman"/>
      <w:i/>
      <w:iCs/>
    </w:rPr>
  </w:style>
  <w:style w:type="paragraph" w:customStyle="1" w:styleId="aff4">
    <w:name w:val="Текст лекции"/>
    <w:basedOn w:val="a"/>
    <w:rsid w:val="00A322F4"/>
    <w:pPr>
      <w:overflowPunct w:val="0"/>
      <w:autoSpaceDE w:val="0"/>
      <w:autoSpaceDN w:val="0"/>
      <w:adjustRightInd w:val="0"/>
      <w:spacing w:after="0" w:line="360" w:lineRule="auto"/>
      <w:ind w:firstLine="709"/>
      <w:jc w:val="both"/>
    </w:pPr>
    <w:rPr>
      <w:rFonts w:ascii="Times New Roman" w:eastAsia="Times New Roman" w:hAnsi="Times New Roman"/>
      <w:sz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43568">
      <w:bodyDiv w:val="1"/>
      <w:marLeft w:val="0"/>
      <w:marRight w:val="0"/>
      <w:marTop w:val="0"/>
      <w:marBottom w:val="0"/>
      <w:divBdr>
        <w:top w:val="none" w:sz="0" w:space="0" w:color="auto"/>
        <w:left w:val="none" w:sz="0" w:space="0" w:color="auto"/>
        <w:bottom w:val="none" w:sz="0" w:space="0" w:color="auto"/>
        <w:right w:val="none" w:sz="0" w:space="0" w:color="auto"/>
      </w:divBdr>
    </w:div>
    <w:div w:id="48455364">
      <w:bodyDiv w:val="1"/>
      <w:marLeft w:val="0"/>
      <w:marRight w:val="0"/>
      <w:marTop w:val="0"/>
      <w:marBottom w:val="0"/>
      <w:divBdr>
        <w:top w:val="none" w:sz="0" w:space="0" w:color="auto"/>
        <w:left w:val="none" w:sz="0" w:space="0" w:color="auto"/>
        <w:bottom w:val="none" w:sz="0" w:space="0" w:color="auto"/>
        <w:right w:val="none" w:sz="0" w:space="0" w:color="auto"/>
      </w:divBdr>
    </w:div>
    <w:div w:id="53503310">
      <w:bodyDiv w:val="1"/>
      <w:marLeft w:val="0"/>
      <w:marRight w:val="0"/>
      <w:marTop w:val="0"/>
      <w:marBottom w:val="0"/>
      <w:divBdr>
        <w:top w:val="none" w:sz="0" w:space="0" w:color="auto"/>
        <w:left w:val="none" w:sz="0" w:space="0" w:color="auto"/>
        <w:bottom w:val="none" w:sz="0" w:space="0" w:color="auto"/>
        <w:right w:val="none" w:sz="0" w:space="0" w:color="auto"/>
      </w:divBdr>
    </w:div>
    <w:div w:id="213741830">
      <w:bodyDiv w:val="1"/>
      <w:marLeft w:val="0"/>
      <w:marRight w:val="0"/>
      <w:marTop w:val="0"/>
      <w:marBottom w:val="0"/>
      <w:divBdr>
        <w:top w:val="none" w:sz="0" w:space="0" w:color="auto"/>
        <w:left w:val="none" w:sz="0" w:space="0" w:color="auto"/>
        <w:bottom w:val="none" w:sz="0" w:space="0" w:color="auto"/>
        <w:right w:val="none" w:sz="0" w:space="0" w:color="auto"/>
      </w:divBdr>
    </w:div>
    <w:div w:id="253169282">
      <w:bodyDiv w:val="1"/>
      <w:marLeft w:val="0"/>
      <w:marRight w:val="0"/>
      <w:marTop w:val="0"/>
      <w:marBottom w:val="0"/>
      <w:divBdr>
        <w:top w:val="none" w:sz="0" w:space="0" w:color="auto"/>
        <w:left w:val="none" w:sz="0" w:space="0" w:color="auto"/>
        <w:bottom w:val="none" w:sz="0" w:space="0" w:color="auto"/>
        <w:right w:val="none" w:sz="0" w:space="0" w:color="auto"/>
      </w:divBdr>
    </w:div>
    <w:div w:id="300842013">
      <w:bodyDiv w:val="1"/>
      <w:marLeft w:val="0"/>
      <w:marRight w:val="0"/>
      <w:marTop w:val="0"/>
      <w:marBottom w:val="0"/>
      <w:divBdr>
        <w:top w:val="none" w:sz="0" w:space="0" w:color="auto"/>
        <w:left w:val="none" w:sz="0" w:space="0" w:color="auto"/>
        <w:bottom w:val="none" w:sz="0" w:space="0" w:color="auto"/>
        <w:right w:val="none" w:sz="0" w:space="0" w:color="auto"/>
      </w:divBdr>
    </w:div>
    <w:div w:id="439572361">
      <w:bodyDiv w:val="1"/>
      <w:marLeft w:val="0"/>
      <w:marRight w:val="0"/>
      <w:marTop w:val="0"/>
      <w:marBottom w:val="0"/>
      <w:divBdr>
        <w:top w:val="none" w:sz="0" w:space="0" w:color="auto"/>
        <w:left w:val="none" w:sz="0" w:space="0" w:color="auto"/>
        <w:bottom w:val="none" w:sz="0" w:space="0" w:color="auto"/>
        <w:right w:val="none" w:sz="0" w:space="0" w:color="auto"/>
      </w:divBdr>
    </w:div>
    <w:div w:id="926887840">
      <w:bodyDiv w:val="1"/>
      <w:marLeft w:val="0"/>
      <w:marRight w:val="0"/>
      <w:marTop w:val="0"/>
      <w:marBottom w:val="0"/>
      <w:divBdr>
        <w:top w:val="none" w:sz="0" w:space="0" w:color="auto"/>
        <w:left w:val="none" w:sz="0" w:space="0" w:color="auto"/>
        <w:bottom w:val="none" w:sz="0" w:space="0" w:color="auto"/>
        <w:right w:val="none" w:sz="0" w:space="0" w:color="auto"/>
      </w:divBdr>
    </w:div>
    <w:div w:id="956176295">
      <w:bodyDiv w:val="1"/>
      <w:marLeft w:val="0"/>
      <w:marRight w:val="0"/>
      <w:marTop w:val="0"/>
      <w:marBottom w:val="0"/>
      <w:divBdr>
        <w:top w:val="none" w:sz="0" w:space="0" w:color="auto"/>
        <w:left w:val="none" w:sz="0" w:space="0" w:color="auto"/>
        <w:bottom w:val="none" w:sz="0" w:space="0" w:color="auto"/>
        <w:right w:val="none" w:sz="0" w:space="0" w:color="auto"/>
      </w:divBdr>
    </w:div>
    <w:div w:id="1021780081">
      <w:bodyDiv w:val="1"/>
      <w:marLeft w:val="0"/>
      <w:marRight w:val="0"/>
      <w:marTop w:val="0"/>
      <w:marBottom w:val="0"/>
      <w:divBdr>
        <w:top w:val="none" w:sz="0" w:space="0" w:color="auto"/>
        <w:left w:val="none" w:sz="0" w:space="0" w:color="auto"/>
        <w:bottom w:val="none" w:sz="0" w:space="0" w:color="auto"/>
        <w:right w:val="none" w:sz="0" w:space="0" w:color="auto"/>
      </w:divBdr>
    </w:div>
    <w:div w:id="1025789852">
      <w:bodyDiv w:val="1"/>
      <w:marLeft w:val="0"/>
      <w:marRight w:val="0"/>
      <w:marTop w:val="0"/>
      <w:marBottom w:val="0"/>
      <w:divBdr>
        <w:top w:val="none" w:sz="0" w:space="0" w:color="auto"/>
        <w:left w:val="none" w:sz="0" w:space="0" w:color="auto"/>
        <w:bottom w:val="none" w:sz="0" w:space="0" w:color="auto"/>
        <w:right w:val="none" w:sz="0" w:space="0" w:color="auto"/>
      </w:divBdr>
    </w:div>
    <w:div w:id="1042703795">
      <w:bodyDiv w:val="1"/>
      <w:marLeft w:val="0"/>
      <w:marRight w:val="0"/>
      <w:marTop w:val="0"/>
      <w:marBottom w:val="0"/>
      <w:divBdr>
        <w:top w:val="none" w:sz="0" w:space="0" w:color="auto"/>
        <w:left w:val="none" w:sz="0" w:space="0" w:color="auto"/>
        <w:bottom w:val="none" w:sz="0" w:space="0" w:color="auto"/>
        <w:right w:val="none" w:sz="0" w:space="0" w:color="auto"/>
      </w:divBdr>
    </w:div>
    <w:div w:id="1207066955">
      <w:bodyDiv w:val="1"/>
      <w:marLeft w:val="0"/>
      <w:marRight w:val="0"/>
      <w:marTop w:val="0"/>
      <w:marBottom w:val="0"/>
      <w:divBdr>
        <w:top w:val="none" w:sz="0" w:space="0" w:color="auto"/>
        <w:left w:val="none" w:sz="0" w:space="0" w:color="auto"/>
        <w:bottom w:val="none" w:sz="0" w:space="0" w:color="auto"/>
        <w:right w:val="none" w:sz="0" w:space="0" w:color="auto"/>
      </w:divBdr>
    </w:div>
    <w:div w:id="1288318418">
      <w:bodyDiv w:val="1"/>
      <w:marLeft w:val="0"/>
      <w:marRight w:val="0"/>
      <w:marTop w:val="0"/>
      <w:marBottom w:val="0"/>
      <w:divBdr>
        <w:top w:val="none" w:sz="0" w:space="0" w:color="auto"/>
        <w:left w:val="none" w:sz="0" w:space="0" w:color="auto"/>
        <w:bottom w:val="none" w:sz="0" w:space="0" w:color="auto"/>
        <w:right w:val="none" w:sz="0" w:space="0" w:color="auto"/>
      </w:divBdr>
    </w:div>
    <w:div w:id="1318462562">
      <w:bodyDiv w:val="1"/>
      <w:marLeft w:val="0"/>
      <w:marRight w:val="0"/>
      <w:marTop w:val="0"/>
      <w:marBottom w:val="0"/>
      <w:divBdr>
        <w:top w:val="none" w:sz="0" w:space="0" w:color="auto"/>
        <w:left w:val="none" w:sz="0" w:space="0" w:color="auto"/>
        <w:bottom w:val="none" w:sz="0" w:space="0" w:color="auto"/>
        <w:right w:val="none" w:sz="0" w:space="0" w:color="auto"/>
      </w:divBdr>
    </w:div>
    <w:div w:id="1320497541">
      <w:bodyDiv w:val="1"/>
      <w:marLeft w:val="0"/>
      <w:marRight w:val="0"/>
      <w:marTop w:val="0"/>
      <w:marBottom w:val="0"/>
      <w:divBdr>
        <w:top w:val="none" w:sz="0" w:space="0" w:color="auto"/>
        <w:left w:val="none" w:sz="0" w:space="0" w:color="auto"/>
        <w:bottom w:val="none" w:sz="0" w:space="0" w:color="auto"/>
        <w:right w:val="none" w:sz="0" w:space="0" w:color="auto"/>
      </w:divBdr>
    </w:div>
    <w:div w:id="1421292637">
      <w:bodyDiv w:val="1"/>
      <w:marLeft w:val="0"/>
      <w:marRight w:val="0"/>
      <w:marTop w:val="0"/>
      <w:marBottom w:val="0"/>
      <w:divBdr>
        <w:top w:val="none" w:sz="0" w:space="0" w:color="auto"/>
        <w:left w:val="none" w:sz="0" w:space="0" w:color="auto"/>
        <w:bottom w:val="none" w:sz="0" w:space="0" w:color="auto"/>
        <w:right w:val="none" w:sz="0" w:space="0" w:color="auto"/>
      </w:divBdr>
    </w:div>
    <w:div w:id="1554579496">
      <w:bodyDiv w:val="1"/>
      <w:marLeft w:val="0"/>
      <w:marRight w:val="0"/>
      <w:marTop w:val="0"/>
      <w:marBottom w:val="0"/>
      <w:divBdr>
        <w:top w:val="none" w:sz="0" w:space="0" w:color="auto"/>
        <w:left w:val="none" w:sz="0" w:space="0" w:color="auto"/>
        <w:bottom w:val="none" w:sz="0" w:space="0" w:color="auto"/>
        <w:right w:val="none" w:sz="0" w:space="0" w:color="auto"/>
      </w:divBdr>
    </w:div>
    <w:div w:id="1575816688">
      <w:bodyDiv w:val="1"/>
      <w:marLeft w:val="0"/>
      <w:marRight w:val="0"/>
      <w:marTop w:val="0"/>
      <w:marBottom w:val="0"/>
      <w:divBdr>
        <w:top w:val="none" w:sz="0" w:space="0" w:color="auto"/>
        <w:left w:val="none" w:sz="0" w:space="0" w:color="auto"/>
        <w:bottom w:val="none" w:sz="0" w:space="0" w:color="auto"/>
        <w:right w:val="none" w:sz="0" w:space="0" w:color="auto"/>
      </w:divBdr>
    </w:div>
    <w:div w:id="1804422015">
      <w:bodyDiv w:val="1"/>
      <w:marLeft w:val="0"/>
      <w:marRight w:val="0"/>
      <w:marTop w:val="0"/>
      <w:marBottom w:val="0"/>
      <w:divBdr>
        <w:top w:val="none" w:sz="0" w:space="0" w:color="auto"/>
        <w:left w:val="none" w:sz="0" w:space="0" w:color="auto"/>
        <w:bottom w:val="none" w:sz="0" w:space="0" w:color="auto"/>
        <w:right w:val="none" w:sz="0" w:space="0" w:color="auto"/>
      </w:divBdr>
    </w:div>
    <w:div w:id="1840344478">
      <w:bodyDiv w:val="1"/>
      <w:marLeft w:val="0"/>
      <w:marRight w:val="0"/>
      <w:marTop w:val="0"/>
      <w:marBottom w:val="0"/>
      <w:divBdr>
        <w:top w:val="none" w:sz="0" w:space="0" w:color="auto"/>
        <w:left w:val="none" w:sz="0" w:space="0" w:color="auto"/>
        <w:bottom w:val="none" w:sz="0" w:space="0" w:color="auto"/>
        <w:right w:val="none" w:sz="0" w:space="0" w:color="auto"/>
      </w:divBdr>
    </w:div>
    <w:div w:id="1856337145">
      <w:bodyDiv w:val="1"/>
      <w:marLeft w:val="0"/>
      <w:marRight w:val="0"/>
      <w:marTop w:val="0"/>
      <w:marBottom w:val="0"/>
      <w:divBdr>
        <w:top w:val="none" w:sz="0" w:space="0" w:color="auto"/>
        <w:left w:val="none" w:sz="0" w:space="0" w:color="auto"/>
        <w:bottom w:val="none" w:sz="0" w:space="0" w:color="auto"/>
        <w:right w:val="none" w:sz="0" w:space="0" w:color="auto"/>
      </w:divBdr>
    </w:div>
    <w:div w:id="1992363812">
      <w:bodyDiv w:val="1"/>
      <w:marLeft w:val="0"/>
      <w:marRight w:val="0"/>
      <w:marTop w:val="0"/>
      <w:marBottom w:val="0"/>
      <w:divBdr>
        <w:top w:val="none" w:sz="0" w:space="0" w:color="auto"/>
        <w:left w:val="none" w:sz="0" w:space="0" w:color="auto"/>
        <w:bottom w:val="none" w:sz="0" w:space="0" w:color="auto"/>
        <w:right w:val="none" w:sz="0" w:space="0" w:color="auto"/>
      </w:divBdr>
    </w:div>
    <w:div w:id="2085715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6.bin"/><Relationship Id="rId21" Type="http://schemas.openxmlformats.org/officeDocument/2006/relationships/image" Target="media/image4.wmf"/><Relationship Id="rId42" Type="http://schemas.openxmlformats.org/officeDocument/2006/relationships/chart" Target="charts/chart6.xml"/><Relationship Id="rId63" Type="http://schemas.openxmlformats.org/officeDocument/2006/relationships/oleObject" Target="embeddings/oleObject12.bin"/><Relationship Id="rId84" Type="http://schemas.openxmlformats.org/officeDocument/2006/relationships/oleObject" Target="embeddings/oleObject33.bin"/><Relationship Id="rId16" Type="http://schemas.openxmlformats.org/officeDocument/2006/relationships/image" Target="media/image1.png"/><Relationship Id="rId107" Type="http://schemas.openxmlformats.org/officeDocument/2006/relationships/oleObject" Target="embeddings/oleObject56.bin"/><Relationship Id="rId11" Type="http://schemas.openxmlformats.org/officeDocument/2006/relationships/diagramData" Target="diagrams/data1.xml"/><Relationship Id="rId32" Type="http://schemas.openxmlformats.org/officeDocument/2006/relationships/chart" Target="charts/chart1.xml"/><Relationship Id="rId37" Type="http://schemas.openxmlformats.org/officeDocument/2006/relationships/diagramData" Target="diagrams/data2.xml"/><Relationship Id="rId53" Type="http://schemas.openxmlformats.org/officeDocument/2006/relationships/chart" Target="charts/chart16.xml"/><Relationship Id="rId58" Type="http://schemas.openxmlformats.org/officeDocument/2006/relationships/image" Target="media/image10.png"/><Relationship Id="rId74" Type="http://schemas.openxmlformats.org/officeDocument/2006/relationships/oleObject" Target="embeddings/oleObject23.bin"/><Relationship Id="rId79" Type="http://schemas.openxmlformats.org/officeDocument/2006/relationships/oleObject" Target="embeddings/oleObject28.bin"/><Relationship Id="rId102" Type="http://schemas.openxmlformats.org/officeDocument/2006/relationships/oleObject" Target="embeddings/oleObject51.bin"/><Relationship Id="rId123" Type="http://schemas.openxmlformats.org/officeDocument/2006/relationships/oleObject" Target="embeddings/oleObject72.bin"/><Relationship Id="rId128" Type="http://schemas.openxmlformats.org/officeDocument/2006/relationships/hyperlink" Target="http://abc.informbureau.com/html/duiixiass_eiodanodoeooda.html" TargetMode="External"/><Relationship Id="rId5" Type="http://schemas.openxmlformats.org/officeDocument/2006/relationships/webSettings" Target="webSettings.xml"/><Relationship Id="rId90" Type="http://schemas.openxmlformats.org/officeDocument/2006/relationships/oleObject" Target="embeddings/oleObject39.bin"/><Relationship Id="rId95" Type="http://schemas.openxmlformats.org/officeDocument/2006/relationships/oleObject" Target="embeddings/oleObject44.bin"/><Relationship Id="rId22" Type="http://schemas.openxmlformats.org/officeDocument/2006/relationships/oleObject" Target="embeddings/oleObject3.bin"/><Relationship Id="rId27" Type="http://schemas.openxmlformats.org/officeDocument/2006/relationships/image" Target="media/image7.wmf"/><Relationship Id="rId43" Type="http://schemas.openxmlformats.org/officeDocument/2006/relationships/header" Target="header1.xml"/><Relationship Id="rId48" Type="http://schemas.openxmlformats.org/officeDocument/2006/relationships/chart" Target="charts/chart11.xml"/><Relationship Id="rId64" Type="http://schemas.openxmlformats.org/officeDocument/2006/relationships/oleObject" Target="embeddings/oleObject13.bin"/><Relationship Id="rId69" Type="http://schemas.openxmlformats.org/officeDocument/2006/relationships/oleObject" Target="embeddings/oleObject18.bin"/><Relationship Id="rId113" Type="http://schemas.openxmlformats.org/officeDocument/2006/relationships/oleObject" Target="embeddings/oleObject62.bin"/><Relationship Id="rId118" Type="http://schemas.openxmlformats.org/officeDocument/2006/relationships/oleObject" Target="embeddings/oleObject67.bin"/><Relationship Id="rId134" Type="http://schemas.openxmlformats.org/officeDocument/2006/relationships/fontTable" Target="fontTable.xml"/><Relationship Id="rId80" Type="http://schemas.openxmlformats.org/officeDocument/2006/relationships/oleObject" Target="embeddings/oleObject29.bin"/><Relationship Id="rId85" Type="http://schemas.openxmlformats.org/officeDocument/2006/relationships/oleObject" Target="embeddings/oleObject34.bin"/><Relationship Id="rId12" Type="http://schemas.openxmlformats.org/officeDocument/2006/relationships/diagramLayout" Target="diagrams/layout1.xml"/><Relationship Id="rId17" Type="http://schemas.openxmlformats.org/officeDocument/2006/relationships/image" Target="media/image2.wmf"/><Relationship Id="rId33" Type="http://schemas.openxmlformats.org/officeDocument/2006/relationships/chart" Target="charts/chart2.xml"/><Relationship Id="rId38" Type="http://schemas.openxmlformats.org/officeDocument/2006/relationships/diagramLayout" Target="diagrams/layout2.xml"/><Relationship Id="rId59" Type="http://schemas.openxmlformats.org/officeDocument/2006/relationships/oleObject" Target="embeddings/oleObject8.bin"/><Relationship Id="rId103" Type="http://schemas.openxmlformats.org/officeDocument/2006/relationships/oleObject" Target="embeddings/oleObject52.bin"/><Relationship Id="rId108" Type="http://schemas.openxmlformats.org/officeDocument/2006/relationships/oleObject" Target="embeddings/oleObject57.bin"/><Relationship Id="rId124" Type="http://schemas.openxmlformats.org/officeDocument/2006/relationships/oleObject" Target="embeddings/oleObject73.bin"/><Relationship Id="rId129" Type="http://schemas.openxmlformats.org/officeDocument/2006/relationships/hyperlink" Target="http://www.gks.ru/wps/wcm/connect/rosstat_main/rosstat/ru/statistics/publications/catalog/doc_1138623506156" TargetMode="External"/><Relationship Id="rId54" Type="http://schemas.openxmlformats.org/officeDocument/2006/relationships/chart" Target="charts/chart17.xml"/><Relationship Id="rId70" Type="http://schemas.openxmlformats.org/officeDocument/2006/relationships/oleObject" Target="embeddings/oleObject19.bin"/><Relationship Id="rId75" Type="http://schemas.openxmlformats.org/officeDocument/2006/relationships/oleObject" Target="embeddings/oleObject24.bin"/><Relationship Id="rId91" Type="http://schemas.openxmlformats.org/officeDocument/2006/relationships/oleObject" Target="embeddings/oleObject40.bin"/><Relationship Id="rId96" Type="http://schemas.openxmlformats.org/officeDocument/2006/relationships/oleObject" Target="embeddings/oleObject45.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wmf"/><Relationship Id="rId28" Type="http://schemas.openxmlformats.org/officeDocument/2006/relationships/oleObject" Target="embeddings/oleObject6.bin"/><Relationship Id="rId49" Type="http://schemas.openxmlformats.org/officeDocument/2006/relationships/chart" Target="charts/chart12.xml"/><Relationship Id="rId114" Type="http://schemas.openxmlformats.org/officeDocument/2006/relationships/oleObject" Target="embeddings/oleObject63.bin"/><Relationship Id="rId119" Type="http://schemas.openxmlformats.org/officeDocument/2006/relationships/oleObject" Target="embeddings/oleObject68.bin"/><Relationship Id="rId44" Type="http://schemas.openxmlformats.org/officeDocument/2006/relationships/chart" Target="charts/chart7.xml"/><Relationship Id="rId60" Type="http://schemas.openxmlformats.org/officeDocument/2006/relationships/oleObject" Target="embeddings/oleObject9.bin"/><Relationship Id="rId65" Type="http://schemas.openxmlformats.org/officeDocument/2006/relationships/oleObject" Target="embeddings/oleObject14.bin"/><Relationship Id="rId81" Type="http://schemas.openxmlformats.org/officeDocument/2006/relationships/oleObject" Target="embeddings/oleObject30.bin"/><Relationship Id="rId86" Type="http://schemas.openxmlformats.org/officeDocument/2006/relationships/oleObject" Target="embeddings/oleObject35.bin"/><Relationship Id="rId130" Type="http://schemas.openxmlformats.org/officeDocument/2006/relationships/hyperlink" Target="http://www.worldbank.org" TargetMode="External"/><Relationship Id="rId135" Type="http://schemas.openxmlformats.org/officeDocument/2006/relationships/theme" Target="theme/theme1.xml"/><Relationship Id="rId13" Type="http://schemas.openxmlformats.org/officeDocument/2006/relationships/diagramQuickStyle" Target="diagrams/quickStyle1.xml"/><Relationship Id="rId18" Type="http://schemas.openxmlformats.org/officeDocument/2006/relationships/oleObject" Target="embeddings/oleObject1.bin"/><Relationship Id="rId39" Type="http://schemas.openxmlformats.org/officeDocument/2006/relationships/diagramQuickStyle" Target="diagrams/quickStyle2.xml"/><Relationship Id="rId109" Type="http://schemas.openxmlformats.org/officeDocument/2006/relationships/oleObject" Target="embeddings/oleObject58.bin"/><Relationship Id="rId34" Type="http://schemas.openxmlformats.org/officeDocument/2006/relationships/chart" Target="charts/chart3.xml"/><Relationship Id="rId50" Type="http://schemas.openxmlformats.org/officeDocument/2006/relationships/chart" Target="charts/chart13.xml"/><Relationship Id="rId55" Type="http://schemas.openxmlformats.org/officeDocument/2006/relationships/chart" Target="charts/chart18.xml"/><Relationship Id="rId76" Type="http://schemas.openxmlformats.org/officeDocument/2006/relationships/oleObject" Target="embeddings/oleObject25.bin"/><Relationship Id="rId97" Type="http://schemas.openxmlformats.org/officeDocument/2006/relationships/oleObject" Target="embeddings/oleObject46.bin"/><Relationship Id="rId104" Type="http://schemas.openxmlformats.org/officeDocument/2006/relationships/oleObject" Target="embeddings/oleObject53.bin"/><Relationship Id="rId120" Type="http://schemas.openxmlformats.org/officeDocument/2006/relationships/oleObject" Target="embeddings/oleObject69.bin"/><Relationship Id="rId125" Type="http://schemas.openxmlformats.org/officeDocument/2006/relationships/oleObject" Target="embeddings/oleObject74.bin"/><Relationship Id="rId7" Type="http://schemas.openxmlformats.org/officeDocument/2006/relationships/endnotes" Target="endnotes.xml"/><Relationship Id="rId71" Type="http://schemas.openxmlformats.org/officeDocument/2006/relationships/oleObject" Target="embeddings/oleObject20.bin"/><Relationship Id="rId92" Type="http://schemas.openxmlformats.org/officeDocument/2006/relationships/oleObject" Target="embeddings/oleObject41.bin"/><Relationship Id="rId2" Type="http://schemas.openxmlformats.org/officeDocument/2006/relationships/numbering" Target="numbering.xml"/><Relationship Id="rId29" Type="http://schemas.openxmlformats.org/officeDocument/2006/relationships/image" Target="media/image8.wmf"/><Relationship Id="rId24" Type="http://schemas.openxmlformats.org/officeDocument/2006/relationships/oleObject" Target="embeddings/oleObject4.bin"/><Relationship Id="rId40" Type="http://schemas.openxmlformats.org/officeDocument/2006/relationships/diagramColors" Target="diagrams/colors2.xml"/><Relationship Id="rId45" Type="http://schemas.openxmlformats.org/officeDocument/2006/relationships/chart" Target="charts/chart8.xml"/><Relationship Id="rId66" Type="http://schemas.openxmlformats.org/officeDocument/2006/relationships/oleObject" Target="embeddings/oleObject15.bin"/><Relationship Id="rId87" Type="http://schemas.openxmlformats.org/officeDocument/2006/relationships/oleObject" Target="embeddings/oleObject36.bin"/><Relationship Id="rId110" Type="http://schemas.openxmlformats.org/officeDocument/2006/relationships/oleObject" Target="embeddings/oleObject59.bin"/><Relationship Id="rId115" Type="http://schemas.openxmlformats.org/officeDocument/2006/relationships/oleObject" Target="embeddings/oleObject64.bin"/><Relationship Id="rId131" Type="http://schemas.openxmlformats.org/officeDocument/2006/relationships/hyperlink" Target="http://imepieurasia.ru/baner/vard1.doc/" TargetMode="External"/><Relationship Id="rId61" Type="http://schemas.openxmlformats.org/officeDocument/2006/relationships/oleObject" Target="embeddings/oleObject10.bin"/><Relationship Id="rId82" Type="http://schemas.openxmlformats.org/officeDocument/2006/relationships/oleObject" Target="embeddings/oleObject31.bin"/><Relationship Id="rId19" Type="http://schemas.openxmlformats.org/officeDocument/2006/relationships/image" Target="media/image3.wmf"/><Relationship Id="rId14" Type="http://schemas.openxmlformats.org/officeDocument/2006/relationships/diagramColors" Target="diagrams/colors1.xml"/><Relationship Id="rId30" Type="http://schemas.openxmlformats.org/officeDocument/2006/relationships/oleObject" Target="embeddings/oleObject7.bin"/><Relationship Id="rId35" Type="http://schemas.openxmlformats.org/officeDocument/2006/relationships/chart" Target="charts/chart4.xml"/><Relationship Id="rId56" Type="http://schemas.openxmlformats.org/officeDocument/2006/relationships/chart" Target="charts/chart19.xml"/><Relationship Id="rId77" Type="http://schemas.openxmlformats.org/officeDocument/2006/relationships/oleObject" Target="embeddings/oleObject26.bin"/><Relationship Id="rId100" Type="http://schemas.openxmlformats.org/officeDocument/2006/relationships/oleObject" Target="embeddings/oleObject49.bin"/><Relationship Id="rId105" Type="http://schemas.openxmlformats.org/officeDocument/2006/relationships/oleObject" Target="embeddings/oleObject54.bin"/><Relationship Id="rId126" Type="http://schemas.openxmlformats.org/officeDocument/2006/relationships/hyperlink" Target="http://sops.ru/upload/SOPS_magazine_02.pdf" TargetMode="External"/><Relationship Id="rId8" Type="http://schemas.openxmlformats.org/officeDocument/2006/relationships/hyperlink" Target="http://teacode.com/online/vak/p08-00-05.html" TargetMode="External"/><Relationship Id="rId51" Type="http://schemas.openxmlformats.org/officeDocument/2006/relationships/chart" Target="charts/chart14.xml"/><Relationship Id="rId72" Type="http://schemas.openxmlformats.org/officeDocument/2006/relationships/oleObject" Target="embeddings/oleObject21.bin"/><Relationship Id="rId93" Type="http://schemas.openxmlformats.org/officeDocument/2006/relationships/oleObject" Target="embeddings/oleObject42.bin"/><Relationship Id="rId98" Type="http://schemas.openxmlformats.org/officeDocument/2006/relationships/oleObject" Target="embeddings/oleObject47.bin"/><Relationship Id="rId121" Type="http://schemas.openxmlformats.org/officeDocument/2006/relationships/oleObject" Target="embeddings/oleObject70.bin"/><Relationship Id="rId3" Type="http://schemas.openxmlformats.org/officeDocument/2006/relationships/styles" Target="styles.xml"/><Relationship Id="rId25" Type="http://schemas.openxmlformats.org/officeDocument/2006/relationships/image" Target="media/image6.wmf"/><Relationship Id="rId46" Type="http://schemas.openxmlformats.org/officeDocument/2006/relationships/chart" Target="charts/chart9.xml"/><Relationship Id="rId67" Type="http://schemas.openxmlformats.org/officeDocument/2006/relationships/oleObject" Target="embeddings/oleObject16.bin"/><Relationship Id="rId116" Type="http://schemas.openxmlformats.org/officeDocument/2006/relationships/oleObject" Target="embeddings/oleObject65.bin"/><Relationship Id="rId20" Type="http://schemas.openxmlformats.org/officeDocument/2006/relationships/oleObject" Target="embeddings/oleObject2.bin"/><Relationship Id="rId41" Type="http://schemas.microsoft.com/office/2007/relationships/diagramDrawing" Target="diagrams/drawing2.xml"/><Relationship Id="rId62" Type="http://schemas.openxmlformats.org/officeDocument/2006/relationships/oleObject" Target="embeddings/oleObject11.bin"/><Relationship Id="rId83" Type="http://schemas.openxmlformats.org/officeDocument/2006/relationships/oleObject" Target="embeddings/oleObject32.bin"/><Relationship Id="rId88" Type="http://schemas.openxmlformats.org/officeDocument/2006/relationships/oleObject" Target="embeddings/oleObject37.bin"/><Relationship Id="rId111" Type="http://schemas.openxmlformats.org/officeDocument/2006/relationships/oleObject" Target="embeddings/oleObject60.bin"/><Relationship Id="rId132" Type="http://schemas.openxmlformats.org/officeDocument/2006/relationships/hyperlink" Target="http://vestnik-samgu.samsu.ru/gum/2006web8/econ/Dubrovina.pdf" TargetMode="External"/><Relationship Id="rId15" Type="http://schemas.microsoft.com/office/2007/relationships/diagramDrawing" Target="diagrams/drawing1.xml"/><Relationship Id="rId36" Type="http://schemas.openxmlformats.org/officeDocument/2006/relationships/chart" Target="charts/chart5.xml"/><Relationship Id="rId57" Type="http://schemas.openxmlformats.org/officeDocument/2006/relationships/chart" Target="charts/chart20.xml"/><Relationship Id="rId106" Type="http://schemas.openxmlformats.org/officeDocument/2006/relationships/oleObject" Target="embeddings/oleObject55.bin"/><Relationship Id="rId127" Type="http://schemas.openxmlformats.org/officeDocument/2006/relationships/hyperlink" Target="http://uecs.ru/uecs-37-372012/item/1004-2012-02-01-05-52-52" TargetMode="External"/><Relationship Id="rId10" Type="http://schemas.openxmlformats.org/officeDocument/2006/relationships/hyperlink" Target="http://ru.wikipedia.org/wiki/%D0%9A%D0%B0%D0%BF%D0%B8%D1%82%D0%B0%D0%BB" TargetMode="External"/><Relationship Id="rId31" Type="http://schemas.openxmlformats.org/officeDocument/2006/relationships/image" Target="media/image9.png"/><Relationship Id="rId52" Type="http://schemas.openxmlformats.org/officeDocument/2006/relationships/chart" Target="charts/chart15.xml"/><Relationship Id="rId73" Type="http://schemas.openxmlformats.org/officeDocument/2006/relationships/oleObject" Target="embeddings/oleObject22.bin"/><Relationship Id="rId78" Type="http://schemas.openxmlformats.org/officeDocument/2006/relationships/oleObject" Target="embeddings/oleObject27.bin"/><Relationship Id="rId94" Type="http://schemas.openxmlformats.org/officeDocument/2006/relationships/oleObject" Target="embeddings/oleObject43.bin"/><Relationship Id="rId99" Type="http://schemas.openxmlformats.org/officeDocument/2006/relationships/oleObject" Target="embeddings/oleObject48.bin"/><Relationship Id="rId101" Type="http://schemas.openxmlformats.org/officeDocument/2006/relationships/oleObject" Target="embeddings/oleObject50.bin"/><Relationship Id="rId122" Type="http://schemas.openxmlformats.org/officeDocument/2006/relationships/oleObject" Target="embeddings/oleObject71.bin"/><Relationship Id="rId4" Type="http://schemas.openxmlformats.org/officeDocument/2006/relationships/settings" Target="settings.xml"/><Relationship Id="rId9" Type="http://schemas.openxmlformats.org/officeDocument/2006/relationships/hyperlink" Target="http://ru.wikipedia.org/wiki/%D0%9C%D0%B0%D1%80%D1%88%D0%B0%D0%BB%D0%BB,_%D0%90%D0%BB%D1%8C%D1%84%D1%80%D0%B5%D0%B4" TargetMode="External"/><Relationship Id="rId26" Type="http://schemas.openxmlformats.org/officeDocument/2006/relationships/oleObject" Target="embeddings/oleObject5.bin"/><Relationship Id="rId47" Type="http://schemas.openxmlformats.org/officeDocument/2006/relationships/chart" Target="charts/chart10.xml"/><Relationship Id="rId68" Type="http://schemas.openxmlformats.org/officeDocument/2006/relationships/oleObject" Target="embeddings/oleObject17.bin"/><Relationship Id="rId89" Type="http://schemas.openxmlformats.org/officeDocument/2006/relationships/oleObject" Target="embeddings/oleObject38.bin"/><Relationship Id="rId112" Type="http://schemas.openxmlformats.org/officeDocument/2006/relationships/oleObject" Target="embeddings/oleObject61.bin"/><Relationship Id="rId133" Type="http://schemas.openxmlformats.org/officeDocument/2006/relationships/hyperlink" Target="http://www.ecfor.ru"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1058;&#1072;&#1082;&#1089;&#1086;&#1085;&#1086;&#1084;&#1080;&#1095;&#1077;&#1089;&#1082;&#1080;&#1081;%20&#1072;&#1085;&#1072;&#1083;&#1080;&#1079;\&#1056;&#1077;&#1075;&#1080;&#1086;&#1085;&#1099;%20&#1055;&#1060;&#1054;_3.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4.11.2015.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4.11.2015.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4.11.2015.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4.11.2015.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42;%20&#1055;&#1088;&#1080;&#1083;&#1086;&#1078;&#1077;&#1085;&#1080;&#1103;\&#1042;&#1056;&#1055;_&#1088;&#1086;&#1089;&#1090;_2005-2014.xls"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er\Desktop\Leonid\Desktop\&#1047;&#1072;&#1103;&#1074;&#1082;&#1072;\&#1058;&#1077;&#1084;_&#1055;&#1083;&#1072;&#1085;_2012\&#1056;&#1072;&#1073;&#1086;&#1090;&#1072;\2013_&#1085;&#1086;&#1074;&#1099;&#1081;%20&#1094;&#1080;&#1082;&#1083;\&#1044;&#1080;&#1089;&#1089;&#1077;&#1088;&#1090;&#1072;&#1094;&#1080;&#1103;%20&#1043;&#1072;&#1083;&#1103;&#1074;&#1086;&#1074;\&#1056;&#1072;&#1073;&#1086;&#1090;&#1072;\&#1055;&#1088;&#1077;&#1076;&#1079;&#1072;&#1097;&#1080;&#1090;&#1072;%20&#1062;&#1055;&#1069;&#1048;\&#1044;&#1086;&#1088;&#1072;&#1073;&#1086;&#1090;&#1082;&#1080;\&#1056;&#1072;&#1089;&#1095;&#1077;&#1090;&#1099;\20.11.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Свод_приросты!$B$3:$D$3</c:f>
              <c:strCache>
                <c:ptCount val="3"/>
                <c:pt idx="0">
                  <c:v>I1 - Субиндекс экономического развития</c:v>
                </c:pt>
                <c:pt idx="1">
                  <c:v>I2 - Субиндекс социального развития</c:v>
                </c:pt>
                <c:pt idx="2">
                  <c:v>I3 - Субиндекс институционального развития</c:v>
                </c:pt>
              </c:strCache>
            </c:strRef>
          </c:cat>
          <c:val>
            <c:numRef>
              <c:f>Свод_приросты!$B$19:$D$19</c:f>
              <c:numCache>
                <c:formatCode>0.0</c:formatCode>
                <c:ptCount val="3"/>
                <c:pt idx="0">
                  <c:v>47.968410787656531</c:v>
                </c:pt>
                <c:pt idx="1">
                  <c:v>13.786565183710467</c:v>
                </c:pt>
                <c:pt idx="2">
                  <c:v>19.179084932782249</c:v>
                </c:pt>
              </c:numCache>
            </c:numRef>
          </c:val>
        </c:ser>
        <c:dLbls>
          <c:showLegendKey val="0"/>
          <c:showVal val="0"/>
          <c:showCatName val="0"/>
          <c:showSerName val="0"/>
          <c:showPercent val="0"/>
          <c:showBubbleSize val="0"/>
        </c:dLbls>
        <c:gapWidth val="219"/>
        <c:overlap val="-27"/>
        <c:axId val="-451678560"/>
        <c:axId val="-451694880"/>
      </c:barChart>
      <c:catAx>
        <c:axId val="-45167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694880"/>
        <c:crosses val="autoZero"/>
        <c:auto val="1"/>
        <c:lblAlgn val="ctr"/>
        <c:lblOffset val="100"/>
        <c:noMultiLvlLbl val="0"/>
      </c:catAx>
      <c:valAx>
        <c:axId val="-451694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678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Лист2!$B$78:$B$89</c:f>
              <c:strCache>
                <c:ptCount val="12"/>
                <c:pt idx="0">
                  <c:v>ИКТ</c:v>
                </c:pt>
                <c:pt idx="1">
                  <c:v>демографический</c:v>
                </c:pt>
                <c:pt idx="2">
                  <c:v>Разв рыночной инфраструктуры</c:v>
                </c:pt>
                <c:pt idx="3">
                  <c:v>промышленность</c:v>
                </c:pt>
                <c:pt idx="4">
                  <c:v>Транспорт</c:v>
                </c:pt>
                <c:pt idx="5">
                  <c:v>Труд</c:v>
                </c:pt>
                <c:pt idx="6">
                  <c:v>с/х</c:v>
                </c:pt>
                <c:pt idx="7">
                  <c:v>Инвестиционная привлекательность</c:v>
                </c:pt>
                <c:pt idx="8">
                  <c:v>Наука и образование</c:v>
                </c:pt>
                <c:pt idx="9">
                  <c:v>энергетика</c:v>
                </c:pt>
                <c:pt idx="10">
                  <c:v>Криминальный фактор</c:v>
                </c:pt>
                <c:pt idx="11">
                  <c:v>Экологическое благополучие</c:v>
                </c:pt>
              </c:strCache>
            </c:strRef>
          </c:cat>
          <c:val>
            <c:numRef>
              <c:f>Лист2!$C$78:$C$89</c:f>
              <c:numCache>
                <c:formatCode>General</c:formatCode>
                <c:ptCount val="12"/>
                <c:pt idx="0">
                  <c:v>0.98</c:v>
                </c:pt>
                <c:pt idx="1">
                  <c:v>0.92</c:v>
                </c:pt>
                <c:pt idx="2">
                  <c:v>0.89</c:v>
                </c:pt>
                <c:pt idx="3">
                  <c:v>0.88</c:v>
                </c:pt>
                <c:pt idx="4">
                  <c:v>0.79</c:v>
                </c:pt>
                <c:pt idx="5">
                  <c:v>0.76</c:v>
                </c:pt>
                <c:pt idx="6">
                  <c:v>0.63</c:v>
                </c:pt>
                <c:pt idx="7">
                  <c:v>0.63</c:v>
                </c:pt>
                <c:pt idx="8">
                  <c:v>0.28000000000000003</c:v>
                </c:pt>
                <c:pt idx="9">
                  <c:v>-0.73</c:v>
                </c:pt>
                <c:pt idx="10">
                  <c:v>-0.78</c:v>
                </c:pt>
                <c:pt idx="11">
                  <c:v>-0.78</c:v>
                </c:pt>
              </c:numCache>
            </c:numRef>
          </c:val>
        </c:ser>
        <c:dLbls>
          <c:showLegendKey val="0"/>
          <c:showVal val="0"/>
          <c:showCatName val="0"/>
          <c:showSerName val="0"/>
          <c:showPercent val="0"/>
          <c:showBubbleSize val="0"/>
        </c:dLbls>
        <c:axId val="-519188544"/>
        <c:axId val="-519192896"/>
      </c:radarChart>
      <c:catAx>
        <c:axId val="-51918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92896"/>
        <c:crosses val="autoZero"/>
        <c:auto val="1"/>
        <c:lblAlgn val="ctr"/>
        <c:lblOffset val="100"/>
        <c:noMultiLvlLbl val="0"/>
      </c:catAx>
      <c:valAx>
        <c:axId val="-51919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88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Лист2!$B$95:$B$106</c:f>
              <c:strCache>
                <c:ptCount val="12"/>
                <c:pt idx="0">
                  <c:v>ИКТ</c:v>
                </c:pt>
                <c:pt idx="1">
                  <c:v>демографический</c:v>
                </c:pt>
                <c:pt idx="2">
                  <c:v>промышленность</c:v>
                </c:pt>
                <c:pt idx="3">
                  <c:v>Инвестиционная привлекательность</c:v>
                </c:pt>
                <c:pt idx="4">
                  <c:v>Разв рыночной инфраструктуры</c:v>
                </c:pt>
                <c:pt idx="5">
                  <c:v>Криминальный фактор</c:v>
                </c:pt>
                <c:pt idx="6">
                  <c:v>Труд</c:v>
                </c:pt>
                <c:pt idx="7">
                  <c:v>Наука и образование</c:v>
                </c:pt>
                <c:pt idx="8">
                  <c:v>с/х</c:v>
                </c:pt>
                <c:pt idx="9">
                  <c:v>энергетика</c:v>
                </c:pt>
                <c:pt idx="10">
                  <c:v>Экологическое благополучие</c:v>
                </c:pt>
                <c:pt idx="11">
                  <c:v>Транспорт</c:v>
                </c:pt>
              </c:strCache>
            </c:strRef>
          </c:cat>
          <c:val>
            <c:numRef>
              <c:f>Лист2!$C$95:$C$106</c:f>
              <c:numCache>
                <c:formatCode>General</c:formatCode>
                <c:ptCount val="12"/>
                <c:pt idx="0">
                  <c:v>0.98</c:v>
                </c:pt>
                <c:pt idx="1">
                  <c:v>0.96</c:v>
                </c:pt>
                <c:pt idx="2">
                  <c:v>0.95</c:v>
                </c:pt>
                <c:pt idx="3">
                  <c:v>0.89</c:v>
                </c:pt>
                <c:pt idx="4">
                  <c:v>0.86</c:v>
                </c:pt>
                <c:pt idx="5">
                  <c:v>0.85</c:v>
                </c:pt>
                <c:pt idx="6">
                  <c:v>0.84</c:v>
                </c:pt>
                <c:pt idx="7">
                  <c:v>0.72</c:v>
                </c:pt>
                <c:pt idx="8">
                  <c:v>0.66</c:v>
                </c:pt>
                <c:pt idx="9">
                  <c:v>0.25</c:v>
                </c:pt>
                <c:pt idx="10">
                  <c:v>-0.73</c:v>
                </c:pt>
                <c:pt idx="11">
                  <c:v>-0.93</c:v>
                </c:pt>
              </c:numCache>
            </c:numRef>
          </c:val>
        </c:ser>
        <c:dLbls>
          <c:showLegendKey val="0"/>
          <c:showVal val="0"/>
          <c:showCatName val="0"/>
          <c:showSerName val="0"/>
          <c:showPercent val="0"/>
          <c:showBubbleSize val="0"/>
        </c:dLbls>
        <c:axId val="-585520064"/>
        <c:axId val="-585534208"/>
      </c:radarChart>
      <c:catAx>
        <c:axId val="-58552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34208"/>
        <c:crosses val="autoZero"/>
        <c:auto val="1"/>
        <c:lblAlgn val="ctr"/>
        <c:lblOffset val="100"/>
        <c:noMultiLvlLbl val="0"/>
      </c:catAx>
      <c:valAx>
        <c:axId val="-58553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20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Лист2!$B$113:$B$124</c:f>
              <c:strCache>
                <c:ptCount val="12"/>
                <c:pt idx="0">
                  <c:v>демографический</c:v>
                </c:pt>
                <c:pt idx="1">
                  <c:v>промышленность</c:v>
                </c:pt>
                <c:pt idx="2">
                  <c:v>Инвестиционная привлекательность</c:v>
                </c:pt>
                <c:pt idx="3">
                  <c:v>ИКТ</c:v>
                </c:pt>
                <c:pt idx="4">
                  <c:v>с/х</c:v>
                </c:pt>
                <c:pt idx="5">
                  <c:v>Наука и образование</c:v>
                </c:pt>
                <c:pt idx="6">
                  <c:v>Труд</c:v>
                </c:pt>
                <c:pt idx="7">
                  <c:v>Разв рыночной инфраструктуры</c:v>
                </c:pt>
                <c:pt idx="8">
                  <c:v>Экологическое благополучие</c:v>
                </c:pt>
                <c:pt idx="9">
                  <c:v>энергетика</c:v>
                </c:pt>
                <c:pt idx="10">
                  <c:v>Транспорт</c:v>
                </c:pt>
                <c:pt idx="11">
                  <c:v>Криминальный фактор</c:v>
                </c:pt>
              </c:strCache>
            </c:strRef>
          </c:cat>
          <c:val>
            <c:numRef>
              <c:f>Лист2!$C$113:$C$124</c:f>
              <c:numCache>
                <c:formatCode>General</c:formatCode>
                <c:ptCount val="12"/>
                <c:pt idx="0">
                  <c:v>0.93</c:v>
                </c:pt>
                <c:pt idx="1">
                  <c:v>0.91</c:v>
                </c:pt>
                <c:pt idx="2">
                  <c:v>0.91</c:v>
                </c:pt>
                <c:pt idx="3">
                  <c:v>0.87</c:v>
                </c:pt>
                <c:pt idx="4">
                  <c:v>0.55000000000000004</c:v>
                </c:pt>
                <c:pt idx="5">
                  <c:v>0.55000000000000004</c:v>
                </c:pt>
                <c:pt idx="6">
                  <c:v>0.41</c:v>
                </c:pt>
                <c:pt idx="7">
                  <c:v>0.23</c:v>
                </c:pt>
                <c:pt idx="8">
                  <c:v>0.08</c:v>
                </c:pt>
                <c:pt idx="9">
                  <c:v>-0.14000000000000001</c:v>
                </c:pt>
                <c:pt idx="10">
                  <c:v>-0.82</c:v>
                </c:pt>
                <c:pt idx="11">
                  <c:v>-0.83</c:v>
                </c:pt>
              </c:numCache>
            </c:numRef>
          </c:val>
        </c:ser>
        <c:dLbls>
          <c:showLegendKey val="0"/>
          <c:showVal val="0"/>
          <c:showCatName val="0"/>
          <c:showSerName val="0"/>
          <c:showPercent val="0"/>
          <c:showBubbleSize val="0"/>
        </c:dLbls>
        <c:axId val="-585522784"/>
        <c:axId val="-585520608"/>
      </c:radarChart>
      <c:catAx>
        <c:axId val="-58552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20608"/>
        <c:crosses val="autoZero"/>
        <c:auto val="1"/>
        <c:lblAlgn val="ctr"/>
        <c:lblOffset val="100"/>
        <c:noMultiLvlLbl val="0"/>
      </c:catAx>
      <c:valAx>
        <c:axId val="-585520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22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Лист2!$B$132:$B$143</c:f>
              <c:strCache>
                <c:ptCount val="12"/>
                <c:pt idx="0">
                  <c:v>ИКТ</c:v>
                </c:pt>
                <c:pt idx="1">
                  <c:v>промышленность</c:v>
                </c:pt>
                <c:pt idx="2">
                  <c:v>Инвестиционная привлекательность</c:v>
                </c:pt>
                <c:pt idx="3">
                  <c:v>демографический</c:v>
                </c:pt>
                <c:pt idx="4">
                  <c:v>Наука и образование</c:v>
                </c:pt>
                <c:pt idx="5">
                  <c:v>Экологическое благополучие</c:v>
                </c:pt>
                <c:pt idx="6">
                  <c:v>Разв рыночной инфраструктуры</c:v>
                </c:pt>
                <c:pt idx="7">
                  <c:v>Труд</c:v>
                </c:pt>
                <c:pt idx="8">
                  <c:v>с/х</c:v>
                </c:pt>
                <c:pt idx="9">
                  <c:v>энергетика</c:v>
                </c:pt>
                <c:pt idx="10">
                  <c:v>Криминальный фактор</c:v>
                </c:pt>
                <c:pt idx="11">
                  <c:v>Транспорт</c:v>
                </c:pt>
              </c:strCache>
            </c:strRef>
          </c:cat>
          <c:val>
            <c:numRef>
              <c:f>Лист2!$C$132:$C$143</c:f>
              <c:numCache>
                <c:formatCode>General</c:formatCode>
                <c:ptCount val="12"/>
                <c:pt idx="0">
                  <c:v>0.98</c:v>
                </c:pt>
                <c:pt idx="1">
                  <c:v>0.96</c:v>
                </c:pt>
                <c:pt idx="2">
                  <c:v>0.93</c:v>
                </c:pt>
                <c:pt idx="3">
                  <c:v>0.9</c:v>
                </c:pt>
                <c:pt idx="4">
                  <c:v>0.86</c:v>
                </c:pt>
                <c:pt idx="5">
                  <c:v>0.78</c:v>
                </c:pt>
                <c:pt idx="6">
                  <c:v>0.77</c:v>
                </c:pt>
                <c:pt idx="7">
                  <c:v>0.47</c:v>
                </c:pt>
                <c:pt idx="8">
                  <c:v>0.44</c:v>
                </c:pt>
                <c:pt idx="9">
                  <c:v>-0.37</c:v>
                </c:pt>
                <c:pt idx="10">
                  <c:v>-0.72</c:v>
                </c:pt>
                <c:pt idx="11">
                  <c:v>-0.84</c:v>
                </c:pt>
              </c:numCache>
            </c:numRef>
          </c:val>
        </c:ser>
        <c:dLbls>
          <c:showLegendKey val="0"/>
          <c:showVal val="0"/>
          <c:showCatName val="0"/>
          <c:showSerName val="0"/>
          <c:showPercent val="0"/>
          <c:showBubbleSize val="0"/>
        </c:dLbls>
        <c:axId val="-585530944"/>
        <c:axId val="-585530400"/>
      </c:radarChart>
      <c:catAx>
        <c:axId val="-58553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30400"/>
        <c:crosses val="autoZero"/>
        <c:auto val="1"/>
        <c:lblAlgn val="ctr"/>
        <c:lblOffset val="100"/>
        <c:noMultiLvlLbl val="0"/>
      </c:catAx>
      <c:valAx>
        <c:axId val="-58553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530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Лист2!$B$150:$B$161</c:f>
              <c:strCache>
                <c:ptCount val="12"/>
                <c:pt idx="0">
                  <c:v>промышленность</c:v>
                </c:pt>
                <c:pt idx="1">
                  <c:v>ИКТ</c:v>
                </c:pt>
                <c:pt idx="2">
                  <c:v>Инвестиционная привлекательность</c:v>
                </c:pt>
                <c:pt idx="3">
                  <c:v>демографический</c:v>
                </c:pt>
                <c:pt idx="4">
                  <c:v>Разв рыночной инфраструктуры</c:v>
                </c:pt>
                <c:pt idx="5">
                  <c:v>с/х</c:v>
                </c:pt>
                <c:pt idx="6">
                  <c:v>Труд</c:v>
                </c:pt>
                <c:pt idx="7">
                  <c:v>Наука и образование</c:v>
                </c:pt>
                <c:pt idx="8">
                  <c:v>Криминальный фактор</c:v>
                </c:pt>
                <c:pt idx="9">
                  <c:v>Экологическое благополучие</c:v>
                </c:pt>
                <c:pt idx="10">
                  <c:v>энергетика</c:v>
                </c:pt>
                <c:pt idx="11">
                  <c:v>Транспорт</c:v>
                </c:pt>
              </c:strCache>
            </c:strRef>
          </c:cat>
          <c:val>
            <c:numRef>
              <c:f>Лист2!$C$150:$C$161</c:f>
              <c:numCache>
                <c:formatCode>General</c:formatCode>
                <c:ptCount val="12"/>
                <c:pt idx="0">
                  <c:v>0.98</c:v>
                </c:pt>
                <c:pt idx="1">
                  <c:v>0.9</c:v>
                </c:pt>
                <c:pt idx="2">
                  <c:v>0.89</c:v>
                </c:pt>
                <c:pt idx="3">
                  <c:v>0.86</c:v>
                </c:pt>
                <c:pt idx="4">
                  <c:v>0.8</c:v>
                </c:pt>
                <c:pt idx="5">
                  <c:v>0.59</c:v>
                </c:pt>
                <c:pt idx="6">
                  <c:v>0.32</c:v>
                </c:pt>
                <c:pt idx="7">
                  <c:v>0.24</c:v>
                </c:pt>
                <c:pt idx="8">
                  <c:v>-0.14000000000000001</c:v>
                </c:pt>
                <c:pt idx="9">
                  <c:v>-0.71</c:v>
                </c:pt>
                <c:pt idx="10">
                  <c:v>-0.73</c:v>
                </c:pt>
                <c:pt idx="11">
                  <c:v>-0.84</c:v>
                </c:pt>
              </c:numCache>
            </c:numRef>
          </c:val>
        </c:ser>
        <c:dLbls>
          <c:showLegendKey val="0"/>
          <c:showVal val="0"/>
          <c:showCatName val="0"/>
          <c:showSerName val="0"/>
          <c:showPercent val="0"/>
          <c:showBubbleSize val="0"/>
        </c:dLbls>
        <c:axId val="-644158880"/>
        <c:axId val="-644161600"/>
      </c:radarChart>
      <c:catAx>
        <c:axId val="-64415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4161600"/>
        <c:crosses val="autoZero"/>
        <c:auto val="1"/>
        <c:lblAlgn val="ctr"/>
        <c:lblOffset val="100"/>
        <c:noMultiLvlLbl val="0"/>
      </c:catAx>
      <c:valAx>
        <c:axId val="-644161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4158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Лист2!$B$167:$B$178</c:f>
              <c:strCache>
                <c:ptCount val="12"/>
                <c:pt idx="0">
                  <c:v>Инвестиционная привлекательность</c:v>
                </c:pt>
                <c:pt idx="1">
                  <c:v>ИКТ</c:v>
                </c:pt>
                <c:pt idx="2">
                  <c:v>с/х</c:v>
                </c:pt>
                <c:pt idx="3">
                  <c:v>демографический</c:v>
                </c:pt>
                <c:pt idx="4">
                  <c:v>Труд</c:v>
                </c:pt>
                <c:pt idx="5">
                  <c:v>Криминальный фактор</c:v>
                </c:pt>
                <c:pt idx="6">
                  <c:v>промышленность</c:v>
                </c:pt>
                <c:pt idx="7">
                  <c:v>Наука и образование</c:v>
                </c:pt>
                <c:pt idx="8">
                  <c:v>Разв рыночной инфраструктуры</c:v>
                </c:pt>
                <c:pt idx="9">
                  <c:v>Экологическое благополучие</c:v>
                </c:pt>
                <c:pt idx="10">
                  <c:v>энергетика</c:v>
                </c:pt>
                <c:pt idx="11">
                  <c:v>Транспорт</c:v>
                </c:pt>
              </c:strCache>
            </c:strRef>
          </c:cat>
          <c:val>
            <c:numRef>
              <c:f>Лист2!$C$167:$C$178</c:f>
              <c:numCache>
                <c:formatCode>General</c:formatCode>
                <c:ptCount val="12"/>
                <c:pt idx="0">
                  <c:v>0.98</c:v>
                </c:pt>
                <c:pt idx="1">
                  <c:v>0.97</c:v>
                </c:pt>
                <c:pt idx="2">
                  <c:v>0.96</c:v>
                </c:pt>
                <c:pt idx="3">
                  <c:v>0.95</c:v>
                </c:pt>
                <c:pt idx="4">
                  <c:v>0.86</c:v>
                </c:pt>
                <c:pt idx="5">
                  <c:v>0.83</c:v>
                </c:pt>
                <c:pt idx="6">
                  <c:v>0.78</c:v>
                </c:pt>
                <c:pt idx="7">
                  <c:v>0.36</c:v>
                </c:pt>
                <c:pt idx="8">
                  <c:v>0.05</c:v>
                </c:pt>
                <c:pt idx="9">
                  <c:v>-0.56000000000000005</c:v>
                </c:pt>
                <c:pt idx="10">
                  <c:v>-0.74</c:v>
                </c:pt>
                <c:pt idx="11">
                  <c:v>-0.78</c:v>
                </c:pt>
              </c:numCache>
            </c:numRef>
          </c:val>
        </c:ser>
        <c:dLbls>
          <c:showLegendKey val="0"/>
          <c:showVal val="0"/>
          <c:showCatName val="0"/>
          <c:showSerName val="0"/>
          <c:showPercent val="0"/>
          <c:showBubbleSize val="0"/>
        </c:dLbls>
        <c:axId val="-644161056"/>
        <c:axId val="-448012928"/>
      </c:radarChart>
      <c:catAx>
        <c:axId val="-64416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8012928"/>
        <c:crosses val="autoZero"/>
        <c:auto val="1"/>
        <c:lblAlgn val="ctr"/>
        <c:lblOffset val="100"/>
        <c:noMultiLvlLbl val="0"/>
      </c:catAx>
      <c:valAx>
        <c:axId val="-44801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416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Лист2!$B$185:$B$196</c:f>
              <c:strCache>
                <c:ptCount val="12"/>
                <c:pt idx="0">
                  <c:v>ИКТ</c:v>
                </c:pt>
                <c:pt idx="1">
                  <c:v>промышленность</c:v>
                </c:pt>
                <c:pt idx="2">
                  <c:v>демографический</c:v>
                </c:pt>
                <c:pt idx="3">
                  <c:v>Разв рыночной инфраструктуры</c:v>
                </c:pt>
                <c:pt idx="4">
                  <c:v>Инвестиционная привлекательность</c:v>
                </c:pt>
                <c:pt idx="5">
                  <c:v>Труд</c:v>
                </c:pt>
                <c:pt idx="6">
                  <c:v>Криминальный фактор</c:v>
                </c:pt>
                <c:pt idx="7">
                  <c:v>Наука и образование</c:v>
                </c:pt>
                <c:pt idx="8">
                  <c:v>Экологическое благополучие</c:v>
                </c:pt>
                <c:pt idx="9">
                  <c:v>с/х</c:v>
                </c:pt>
                <c:pt idx="10">
                  <c:v>энергетика</c:v>
                </c:pt>
                <c:pt idx="11">
                  <c:v>Транспорт</c:v>
                </c:pt>
              </c:strCache>
            </c:strRef>
          </c:cat>
          <c:val>
            <c:numRef>
              <c:f>Лист2!$C$185:$C$196</c:f>
              <c:numCache>
                <c:formatCode>General</c:formatCode>
                <c:ptCount val="12"/>
                <c:pt idx="0">
                  <c:v>0.96</c:v>
                </c:pt>
                <c:pt idx="1">
                  <c:v>0.95</c:v>
                </c:pt>
                <c:pt idx="2">
                  <c:v>0.94</c:v>
                </c:pt>
                <c:pt idx="3">
                  <c:v>0.8</c:v>
                </c:pt>
                <c:pt idx="4">
                  <c:v>0.76</c:v>
                </c:pt>
                <c:pt idx="5">
                  <c:v>0.56000000000000005</c:v>
                </c:pt>
                <c:pt idx="6">
                  <c:v>0.33</c:v>
                </c:pt>
                <c:pt idx="7">
                  <c:v>0.21</c:v>
                </c:pt>
                <c:pt idx="8">
                  <c:v>-0.56000000000000005</c:v>
                </c:pt>
                <c:pt idx="9">
                  <c:v>-0.56999999999999995</c:v>
                </c:pt>
                <c:pt idx="10">
                  <c:v>-0.69</c:v>
                </c:pt>
                <c:pt idx="11">
                  <c:v>-0.89</c:v>
                </c:pt>
              </c:numCache>
            </c:numRef>
          </c:val>
        </c:ser>
        <c:dLbls>
          <c:showLegendKey val="0"/>
          <c:showVal val="0"/>
          <c:showCatName val="0"/>
          <c:showSerName val="0"/>
          <c:showPercent val="0"/>
          <c:showBubbleSize val="0"/>
        </c:dLbls>
        <c:axId val="-448001504"/>
        <c:axId val="-448010752"/>
      </c:radarChart>
      <c:catAx>
        <c:axId val="-44800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8010752"/>
        <c:crosses val="autoZero"/>
        <c:auto val="1"/>
        <c:lblAlgn val="ctr"/>
        <c:lblOffset val="100"/>
        <c:noMultiLvlLbl val="0"/>
      </c:catAx>
      <c:valAx>
        <c:axId val="-44801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800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Лист2!$B$203:$B$214</c:f>
              <c:strCache>
                <c:ptCount val="12"/>
                <c:pt idx="0">
                  <c:v>Транспорт</c:v>
                </c:pt>
                <c:pt idx="1">
                  <c:v>ИКТ</c:v>
                </c:pt>
                <c:pt idx="2">
                  <c:v>Инвестиционная привлекательность</c:v>
                </c:pt>
                <c:pt idx="3">
                  <c:v>Криминальный фактор</c:v>
                </c:pt>
                <c:pt idx="4">
                  <c:v>промышленность</c:v>
                </c:pt>
                <c:pt idx="5">
                  <c:v>Разв рыночной инфраструктуры</c:v>
                </c:pt>
                <c:pt idx="6">
                  <c:v>демографический</c:v>
                </c:pt>
                <c:pt idx="7">
                  <c:v>энергетика</c:v>
                </c:pt>
                <c:pt idx="8">
                  <c:v>Труд</c:v>
                </c:pt>
                <c:pt idx="9">
                  <c:v>Экологическое благополучие</c:v>
                </c:pt>
                <c:pt idx="10">
                  <c:v>Наука и образование</c:v>
                </c:pt>
                <c:pt idx="11">
                  <c:v>с/х</c:v>
                </c:pt>
              </c:strCache>
            </c:strRef>
          </c:cat>
          <c:val>
            <c:numRef>
              <c:f>Лист2!$C$203:$C$214</c:f>
              <c:numCache>
                <c:formatCode>General</c:formatCode>
                <c:ptCount val="12"/>
                <c:pt idx="0">
                  <c:v>1</c:v>
                </c:pt>
                <c:pt idx="1">
                  <c:v>0.98</c:v>
                </c:pt>
                <c:pt idx="2">
                  <c:v>0.95</c:v>
                </c:pt>
                <c:pt idx="3">
                  <c:v>0.84</c:v>
                </c:pt>
                <c:pt idx="4">
                  <c:v>0.79</c:v>
                </c:pt>
                <c:pt idx="5">
                  <c:v>0.74</c:v>
                </c:pt>
                <c:pt idx="6">
                  <c:v>0.69</c:v>
                </c:pt>
                <c:pt idx="7">
                  <c:v>0.43</c:v>
                </c:pt>
                <c:pt idx="8">
                  <c:v>0.38</c:v>
                </c:pt>
                <c:pt idx="9">
                  <c:v>0.37</c:v>
                </c:pt>
                <c:pt idx="10">
                  <c:v>0.08</c:v>
                </c:pt>
                <c:pt idx="11">
                  <c:v>-0.44</c:v>
                </c:pt>
              </c:numCache>
            </c:numRef>
          </c:val>
        </c:ser>
        <c:dLbls>
          <c:showLegendKey val="0"/>
          <c:showVal val="0"/>
          <c:showCatName val="0"/>
          <c:showSerName val="0"/>
          <c:showPercent val="0"/>
          <c:showBubbleSize val="0"/>
        </c:dLbls>
        <c:axId val="-697486544"/>
        <c:axId val="-697484912"/>
      </c:radarChart>
      <c:catAx>
        <c:axId val="-69748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7484912"/>
        <c:crosses val="autoZero"/>
        <c:auto val="1"/>
        <c:lblAlgn val="ctr"/>
        <c:lblOffset val="100"/>
        <c:noMultiLvlLbl val="0"/>
      </c:catAx>
      <c:valAx>
        <c:axId val="-69748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7486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Лист2!$B$220:$B$231</c:f>
              <c:strCache>
                <c:ptCount val="12"/>
                <c:pt idx="0">
                  <c:v>ИКТ</c:v>
                </c:pt>
                <c:pt idx="1">
                  <c:v>демографический</c:v>
                </c:pt>
                <c:pt idx="2">
                  <c:v>Разв рыночной инфраструктуры</c:v>
                </c:pt>
                <c:pt idx="3">
                  <c:v>промышленность</c:v>
                </c:pt>
                <c:pt idx="4">
                  <c:v>Инвестиционная привлекательность</c:v>
                </c:pt>
                <c:pt idx="5">
                  <c:v>Труд</c:v>
                </c:pt>
                <c:pt idx="6">
                  <c:v>Экологическое благополучие</c:v>
                </c:pt>
                <c:pt idx="7">
                  <c:v>Криминальный фактор</c:v>
                </c:pt>
                <c:pt idx="8">
                  <c:v>с/х</c:v>
                </c:pt>
                <c:pt idx="9">
                  <c:v>Наука и образование</c:v>
                </c:pt>
                <c:pt idx="10">
                  <c:v>энергетика</c:v>
                </c:pt>
                <c:pt idx="11">
                  <c:v>Транспорт</c:v>
                </c:pt>
              </c:strCache>
            </c:strRef>
          </c:cat>
          <c:val>
            <c:numRef>
              <c:f>Лист2!$C$220:$C$231</c:f>
              <c:numCache>
                <c:formatCode>General</c:formatCode>
                <c:ptCount val="12"/>
                <c:pt idx="0">
                  <c:v>0.97</c:v>
                </c:pt>
                <c:pt idx="1">
                  <c:v>0.96</c:v>
                </c:pt>
                <c:pt idx="2">
                  <c:v>0.84</c:v>
                </c:pt>
                <c:pt idx="3">
                  <c:v>0.79</c:v>
                </c:pt>
                <c:pt idx="4">
                  <c:v>0.78</c:v>
                </c:pt>
                <c:pt idx="5">
                  <c:v>0.64</c:v>
                </c:pt>
                <c:pt idx="6">
                  <c:v>0.49</c:v>
                </c:pt>
                <c:pt idx="7">
                  <c:v>0.28000000000000003</c:v>
                </c:pt>
                <c:pt idx="8">
                  <c:v>0.22</c:v>
                </c:pt>
                <c:pt idx="9">
                  <c:v>0.08</c:v>
                </c:pt>
                <c:pt idx="10">
                  <c:v>-0.34</c:v>
                </c:pt>
                <c:pt idx="11">
                  <c:v>-0.87</c:v>
                </c:pt>
              </c:numCache>
            </c:numRef>
          </c:val>
        </c:ser>
        <c:dLbls>
          <c:showLegendKey val="0"/>
          <c:showVal val="0"/>
          <c:showCatName val="0"/>
          <c:showSerName val="0"/>
          <c:showPercent val="0"/>
          <c:showBubbleSize val="0"/>
        </c:dLbls>
        <c:axId val="-612666768"/>
        <c:axId val="-612665136"/>
      </c:radarChart>
      <c:catAx>
        <c:axId val="-61266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2665136"/>
        <c:crosses val="autoZero"/>
        <c:auto val="1"/>
        <c:lblAlgn val="ctr"/>
        <c:lblOffset val="100"/>
        <c:noMultiLvlLbl val="0"/>
      </c:catAx>
      <c:valAx>
        <c:axId val="-61266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2666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Лист2!$B$237:$B$248</c:f>
              <c:strCache>
                <c:ptCount val="12"/>
                <c:pt idx="0">
                  <c:v>демографический</c:v>
                </c:pt>
                <c:pt idx="1">
                  <c:v>Инвестиционная привлекательность</c:v>
                </c:pt>
                <c:pt idx="2">
                  <c:v>ИКТ</c:v>
                </c:pt>
                <c:pt idx="3">
                  <c:v>Разв рыночной инфраструктуры</c:v>
                </c:pt>
                <c:pt idx="4">
                  <c:v>промышленность</c:v>
                </c:pt>
                <c:pt idx="5">
                  <c:v>с/х</c:v>
                </c:pt>
                <c:pt idx="6">
                  <c:v>Экологическое благополучие</c:v>
                </c:pt>
                <c:pt idx="7">
                  <c:v>Труд</c:v>
                </c:pt>
                <c:pt idx="8">
                  <c:v>Криминальный фактор</c:v>
                </c:pt>
                <c:pt idx="9">
                  <c:v>Наука и образование</c:v>
                </c:pt>
                <c:pt idx="10">
                  <c:v>Транспорт</c:v>
                </c:pt>
                <c:pt idx="11">
                  <c:v>энергетика</c:v>
                </c:pt>
              </c:strCache>
            </c:strRef>
          </c:cat>
          <c:val>
            <c:numRef>
              <c:f>Лист2!$C$237:$C$248</c:f>
              <c:numCache>
                <c:formatCode>General</c:formatCode>
                <c:ptCount val="12"/>
                <c:pt idx="0">
                  <c:v>0.97</c:v>
                </c:pt>
                <c:pt idx="1">
                  <c:v>0.92</c:v>
                </c:pt>
                <c:pt idx="2">
                  <c:v>0.85</c:v>
                </c:pt>
                <c:pt idx="3">
                  <c:v>0.72</c:v>
                </c:pt>
                <c:pt idx="4">
                  <c:v>0.56999999999999995</c:v>
                </c:pt>
                <c:pt idx="5">
                  <c:v>0.56000000000000005</c:v>
                </c:pt>
                <c:pt idx="6">
                  <c:v>0.52</c:v>
                </c:pt>
                <c:pt idx="7">
                  <c:v>0.42</c:v>
                </c:pt>
                <c:pt idx="8">
                  <c:v>0.24</c:v>
                </c:pt>
                <c:pt idx="9">
                  <c:v>7.0000000000000007E-2</c:v>
                </c:pt>
                <c:pt idx="10">
                  <c:v>-0.69</c:v>
                </c:pt>
                <c:pt idx="11">
                  <c:v>-0.71</c:v>
                </c:pt>
              </c:numCache>
            </c:numRef>
          </c:val>
        </c:ser>
        <c:dLbls>
          <c:showLegendKey val="0"/>
          <c:showVal val="0"/>
          <c:showCatName val="0"/>
          <c:showSerName val="0"/>
          <c:showPercent val="0"/>
          <c:showBubbleSize val="0"/>
        </c:dLbls>
        <c:axId val="-612672208"/>
        <c:axId val="-227659936"/>
      </c:radarChart>
      <c:catAx>
        <c:axId val="-61267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659936"/>
        <c:crosses val="autoZero"/>
        <c:auto val="1"/>
        <c:lblAlgn val="ctr"/>
        <c:lblOffset val="100"/>
        <c:noMultiLvlLbl val="0"/>
      </c:catAx>
      <c:valAx>
        <c:axId val="-22765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2672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Более 200 тыс. населения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Лист4!$D$5</c:f>
              <c:strCache>
                <c:ptCount val="1"/>
                <c:pt idx="0">
                  <c:v>1989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Лист4!$D$6:$D$8</c:f>
              <c:numCache>
                <c:formatCode>General</c:formatCode>
                <c:ptCount val="3"/>
                <c:pt idx="0">
                  <c:v>71.3</c:v>
                </c:pt>
                <c:pt idx="1">
                  <c:v>59.9</c:v>
                </c:pt>
                <c:pt idx="2">
                  <c:v>58.4</c:v>
                </c:pt>
              </c:numCache>
            </c:numRef>
          </c:val>
        </c:ser>
        <c:ser>
          <c:idx val="1"/>
          <c:order val="1"/>
          <c:tx>
            <c:strRef>
              <c:f>Лист4!$E$5</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Лист4!$E$6:$E$8</c:f>
              <c:numCache>
                <c:formatCode>General</c:formatCode>
                <c:ptCount val="3"/>
                <c:pt idx="0">
                  <c:v>72.5</c:v>
                </c:pt>
                <c:pt idx="1">
                  <c:v>66.3</c:v>
                </c:pt>
                <c:pt idx="2">
                  <c:v>57.1</c:v>
                </c:pt>
              </c:numCache>
            </c:numRef>
          </c:val>
        </c:ser>
        <c:dLbls>
          <c:showLegendKey val="0"/>
          <c:showVal val="0"/>
          <c:showCatName val="0"/>
          <c:showSerName val="0"/>
          <c:showPercent val="0"/>
          <c:showBubbleSize val="0"/>
        </c:dLbls>
        <c:gapWidth val="150"/>
        <c:axId val="-451676384"/>
        <c:axId val="-451675840"/>
      </c:barChart>
      <c:catAx>
        <c:axId val="-45167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675840"/>
        <c:crosses val="autoZero"/>
        <c:auto val="1"/>
        <c:lblAlgn val="ctr"/>
        <c:lblOffset val="100"/>
        <c:noMultiLvlLbl val="0"/>
      </c:catAx>
      <c:valAx>
        <c:axId val="-451675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6763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Лист2!$B$255:$B$266</c:f>
              <c:strCache>
                <c:ptCount val="12"/>
                <c:pt idx="0">
                  <c:v>ИКТ</c:v>
                </c:pt>
                <c:pt idx="1">
                  <c:v>демографический</c:v>
                </c:pt>
                <c:pt idx="2">
                  <c:v>промышленность</c:v>
                </c:pt>
                <c:pt idx="3">
                  <c:v>Инвестиционная привлекательность</c:v>
                </c:pt>
                <c:pt idx="4">
                  <c:v>Наука и образование</c:v>
                </c:pt>
                <c:pt idx="5">
                  <c:v>Транспорт</c:v>
                </c:pt>
                <c:pt idx="6">
                  <c:v>Труд</c:v>
                </c:pt>
                <c:pt idx="7">
                  <c:v>Разв рыночной инфраструктуры</c:v>
                </c:pt>
                <c:pt idx="8">
                  <c:v>с/х</c:v>
                </c:pt>
                <c:pt idx="9">
                  <c:v>Криминальный фактор</c:v>
                </c:pt>
                <c:pt idx="10">
                  <c:v>энергетика</c:v>
                </c:pt>
                <c:pt idx="11">
                  <c:v>Экологическое благополучие</c:v>
                </c:pt>
              </c:strCache>
            </c:strRef>
          </c:cat>
          <c:val>
            <c:numRef>
              <c:f>Лист2!$C$255:$C$266</c:f>
              <c:numCache>
                <c:formatCode>General</c:formatCode>
                <c:ptCount val="12"/>
                <c:pt idx="0">
                  <c:v>0.99</c:v>
                </c:pt>
                <c:pt idx="1">
                  <c:v>0.95</c:v>
                </c:pt>
                <c:pt idx="2">
                  <c:v>0.9</c:v>
                </c:pt>
                <c:pt idx="3">
                  <c:v>0.9</c:v>
                </c:pt>
                <c:pt idx="4">
                  <c:v>0.89</c:v>
                </c:pt>
                <c:pt idx="5">
                  <c:v>0.68</c:v>
                </c:pt>
                <c:pt idx="6">
                  <c:v>0.65</c:v>
                </c:pt>
                <c:pt idx="7">
                  <c:v>0.59</c:v>
                </c:pt>
                <c:pt idx="8">
                  <c:v>0.46</c:v>
                </c:pt>
                <c:pt idx="9">
                  <c:v>-0.03</c:v>
                </c:pt>
                <c:pt idx="10">
                  <c:v>-0.65</c:v>
                </c:pt>
                <c:pt idx="11">
                  <c:v>-0.83</c:v>
                </c:pt>
              </c:numCache>
            </c:numRef>
          </c:val>
        </c:ser>
        <c:dLbls>
          <c:showLegendKey val="0"/>
          <c:showVal val="0"/>
          <c:showCatName val="0"/>
          <c:showSerName val="0"/>
          <c:showPercent val="0"/>
          <c:showBubbleSize val="0"/>
        </c:dLbls>
        <c:axId val="-227659392"/>
        <c:axId val="-227651776"/>
      </c:radarChart>
      <c:catAx>
        <c:axId val="-22765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651776"/>
        <c:crosses val="autoZero"/>
        <c:auto val="1"/>
        <c:lblAlgn val="ctr"/>
        <c:lblOffset val="100"/>
        <c:noMultiLvlLbl val="0"/>
      </c:catAx>
      <c:valAx>
        <c:axId val="-227651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659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от 100 до 200 тыс. человек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Лист4!$F$5</c:f>
              <c:strCache>
                <c:ptCount val="1"/>
                <c:pt idx="0">
                  <c:v>1989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Лист4!$F$6:$F$8</c:f>
              <c:numCache>
                <c:formatCode>General</c:formatCode>
                <c:ptCount val="3"/>
                <c:pt idx="0">
                  <c:v>11.1</c:v>
                </c:pt>
                <c:pt idx="1">
                  <c:v>12.1</c:v>
                </c:pt>
                <c:pt idx="2">
                  <c:v>3.7</c:v>
                </c:pt>
              </c:numCache>
            </c:numRef>
          </c:val>
        </c:ser>
        <c:ser>
          <c:idx val="1"/>
          <c:order val="1"/>
          <c:tx>
            <c:strRef>
              <c:f>Лист4!$G$5</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Лист4!$G$6:$G$8</c:f>
              <c:numCache>
                <c:formatCode>General</c:formatCode>
                <c:ptCount val="3"/>
                <c:pt idx="0">
                  <c:v>11</c:v>
                </c:pt>
                <c:pt idx="1">
                  <c:v>8.6</c:v>
                </c:pt>
                <c:pt idx="2">
                  <c:v>4</c:v>
                </c:pt>
              </c:numCache>
            </c:numRef>
          </c:val>
        </c:ser>
        <c:dLbls>
          <c:showLegendKey val="0"/>
          <c:showVal val="0"/>
          <c:showCatName val="0"/>
          <c:showSerName val="0"/>
          <c:showPercent val="0"/>
          <c:showBubbleSize val="0"/>
        </c:dLbls>
        <c:gapWidth val="219"/>
        <c:overlap val="-27"/>
        <c:axId val="-520400576"/>
        <c:axId val="-520408192"/>
      </c:barChart>
      <c:catAx>
        <c:axId val="-52040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8192"/>
        <c:crosses val="autoZero"/>
        <c:auto val="1"/>
        <c:lblAlgn val="ctr"/>
        <c:lblOffset val="100"/>
        <c:noMultiLvlLbl val="0"/>
      </c:catAx>
      <c:valAx>
        <c:axId val="-52040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от 50 до 100 тыс. человек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Лист4!$H$5</c:f>
              <c:strCache>
                <c:ptCount val="1"/>
                <c:pt idx="0">
                  <c:v>1989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Лист4!$H$6:$H$8</c:f>
              <c:numCache>
                <c:formatCode>General</c:formatCode>
                <c:ptCount val="3"/>
                <c:pt idx="0">
                  <c:v>3.7</c:v>
                </c:pt>
                <c:pt idx="1">
                  <c:v>10.5</c:v>
                </c:pt>
                <c:pt idx="2">
                  <c:v>14</c:v>
                </c:pt>
              </c:numCache>
            </c:numRef>
          </c:val>
        </c:ser>
        <c:ser>
          <c:idx val="1"/>
          <c:order val="1"/>
          <c:tx>
            <c:strRef>
              <c:f>Лист4!$I$5</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Лист4!$I$6:$I$8</c:f>
              <c:numCache>
                <c:formatCode>General</c:formatCode>
                <c:ptCount val="3"/>
                <c:pt idx="0">
                  <c:v>2.8</c:v>
                </c:pt>
                <c:pt idx="1">
                  <c:v>10</c:v>
                </c:pt>
                <c:pt idx="2">
                  <c:v>15.5</c:v>
                </c:pt>
              </c:numCache>
            </c:numRef>
          </c:val>
        </c:ser>
        <c:dLbls>
          <c:showLegendKey val="0"/>
          <c:showVal val="0"/>
          <c:showCatName val="0"/>
          <c:showSerName val="0"/>
          <c:showPercent val="0"/>
          <c:showBubbleSize val="0"/>
        </c:dLbls>
        <c:gapWidth val="219"/>
        <c:overlap val="-27"/>
        <c:axId val="-520400032"/>
        <c:axId val="-520397312"/>
      </c:barChart>
      <c:catAx>
        <c:axId val="-52040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397312"/>
        <c:crosses val="autoZero"/>
        <c:auto val="1"/>
        <c:lblAlgn val="ctr"/>
        <c:lblOffset val="100"/>
        <c:noMultiLvlLbl val="0"/>
      </c:catAx>
      <c:valAx>
        <c:axId val="-520397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меньше 50 тыс. человек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Лист4!$J$5</c:f>
              <c:strCache>
                <c:ptCount val="1"/>
                <c:pt idx="0">
                  <c:v>1989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Лист4!$J$6:$J$8</c:f>
              <c:numCache>
                <c:formatCode>General</c:formatCode>
                <c:ptCount val="3"/>
                <c:pt idx="0">
                  <c:v>13.9</c:v>
                </c:pt>
                <c:pt idx="1">
                  <c:v>14.2</c:v>
                </c:pt>
                <c:pt idx="2">
                  <c:v>23.9</c:v>
                </c:pt>
              </c:numCache>
            </c:numRef>
          </c:val>
        </c:ser>
        <c:ser>
          <c:idx val="1"/>
          <c:order val="1"/>
          <c:tx>
            <c:strRef>
              <c:f>Лист4!$K$5</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Лист4!$C$6:$C$8</c:f>
              <c:strCache>
                <c:ptCount val="3"/>
                <c:pt idx="0">
                  <c:v>Самарская область</c:v>
                </c:pt>
                <c:pt idx="1">
                  <c:v>Республика Татарстан</c:v>
                </c:pt>
                <c:pt idx="2">
                  <c:v>Нижегородская область</c:v>
                </c:pt>
              </c:strCache>
            </c:strRef>
          </c:cat>
          <c:val>
            <c:numRef>
              <c:f>Лист4!$K$6:$K$8</c:f>
              <c:numCache>
                <c:formatCode>General</c:formatCode>
                <c:ptCount val="3"/>
                <c:pt idx="0">
                  <c:v>11.6</c:v>
                </c:pt>
                <c:pt idx="1">
                  <c:v>15.2</c:v>
                </c:pt>
                <c:pt idx="2">
                  <c:v>23.3</c:v>
                </c:pt>
              </c:numCache>
            </c:numRef>
          </c:val>
        </c:ser>
        <c:dLbls>
          <c:showLegendKey val="0"/>
          <c:showVal val="0"/>
          <c:showCatName val="0"/>
          <c:showSerName val="0"/>
          <c:showPercent val="0"/>
          <c:showBubbleSize val="0"/>
        </c:dLbls>
        <c:gapWidth val="219"/>
        <c:overlap val="-27"/>
        <c:axId val="-520395680"/>
        <c:axId val="-520394592"/>
      </c:barChart>
      <c:catAx>
        <c:axId val="-52039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394592"/>
        <c:crosses val="autoZero"/>
        <c:auto val="1"/>
        <c:lblAlgn val="ctr"/>
        <c:lblOffset val="100"/>
        <c:noMultiLvlLbl val="0"/>
      </c:catAx>
      <c:valAx>
        <c:axId val="-520394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39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ВРП (факт)</c:v>
          </c:tx>
          <c:spPr>
            <a:ln w="28575" cap="rnd">
              <a:solidFill>
                <a:schemeClr val="accent1"/>
              </a:solidFill>
              <a:round/>
            </a:ln>
            <a:effectLst/>
          </c:spPr>
          <c:marker>
            <c:symbol val="none"/>
          </c:marker>
          <c:cat>
            <c:strRef>
              <c:f>Данные!$C$23:$L$23</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Данные!$C$24:$L$24</c:f>
              <c:numCache>
                <c:formatCode>#,##0.####</c:formatCode>
                <c:ptCount val="10"/>
                <c:pt idx="0">
                  <c:v>105.5</c:v>
                </c:pt>
                <c:pt idx="1">
                  <c:v>108.5</c:v>
                </c:pt>
                <c:pt idx="2">
                  <c:v>110.7</c:v>
                </c:pt>
                <c:pt idx="3">
                  <c:v>107.7</c:v>
                </c:pt>
                <c:pt idx="4">
                  <c:v>96.6</c:v>
                </c:pt>
                <c:pt idx="5">
                  <c:v>104.3</c:v>
                </c:pt>
                <c:pt idx="6">
                  <c:v>105.7</c:v>
                </c:pt>
                <c:pt idx="7">
                  <c:v>105.5</c:v>
                </c:pt>
                <c:pt idx="8">
                  <c:v>102.4</c:v>
                </c:pt>
                <c:pt idx="9">
                  <c:v>102.1</c:v>
                </c:pt>
              </c:numCache>
            </c:numRef>
          </c:val>
          <c:smooth val="0"/>
        </c:ser>
        <c:ser>
          <c:idx val="1"/>
          <c:order val="1"/>
          <c:tx>
            <c:v>ВРП (предсказанный)</c:v>
          </c:tx>
          <c:spPr>
            <a:ln w="28575" cap="rnd">
              <a:solidFill>
                <a:schemeClr val="accent2"/>
              </a:solidFill>
              <a:round/>
            </a:ln>
            <a:effectLst/>
          </c:spPr>
          <c:marker>
            <c:symbol val="none"/>
          </c:marker>
          <c:cat>
            <c:strRef>
              <c:f>Данные!$C$23:$L$23</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Данные!$C$25:$L$25</c:f>
              <c:numCache>
                <c:formatCode>General</c:formatCode>
                <c:ptCount val="10"/>
                <c:pt idx="0">
                  <c:v>104.9</c:v>
                </c:pt>
                <c:pt idx="1">
                  <c:v>106.9</c:v>
                </c:pt>
                <c:pt idx="2">
                  <c:v>109.9</c:v>
                </c:pt>
                <c:pt idx="3">
                  <c:v>108.3</c:v>
                </c:pt>
                <c:pt idx="4">
                  <c:v>101.2</c:v>
                </c:pt>
                <c:pt idx="5">
                  <c:v>102.9</c:v>
                </c:pt>
                <c:pt idx="6">
                  <c:v>106.3</c:v>
                </c:pt>
                <c:pt idx="7">
                  <c:v>106</c:v>
                </c:pt>
                <c:pt idx="8">
                  <c:v>103.8</c:v>
                </c:pt>
                <c:pt idx="9">
                  <c:v>103.7</c:v>
                </c:pt>
              </c:numCache>
            </c:numRef>
          </c:val>
          <c:smooth val="0"/>
        </c:ser>
        <c:dLbls>
          <c:showLegendKey val="0"/>
          <c:showVal val="0"/>
          <c:showCatName val="0"/>
          <c:showSerName val="0"/>
          <c:showPercent val="0"/>
          <c:showBubbleSize val="0"/>
        </c:dLbls>
        <c:smooth val="0"/>
        <c:axId val="-520407104"/>
        <c:axId val="-520406016"/>
      </c:lineChart>
      <c:catAx>
        <c:axId val="-52040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6016"/>
        <c:crosses val="autoZero"/>
        <c:auto val="1"/>
        <c:lblAlgn val="ctr"/>
        <c:lblOffset val="100"/>
        <c:noMultiLvlLbl val="0"/>
      </c:catAx>
      <c:valAx>
        <c:axId val="-520406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cat>
            <c:strRef>
              <c:f>Лист2!$B$24:$B$35</c:f>
              <c:strCache>
                <c:ptCount val="12"/>
                <c:pt idx="0">
                  <c:v>демографический</c:v>
                </c:pt>
                <c:pt idx="1">
                  <c:v>промышленность</c:v>
                </c:pt>
                <c:pt idx="2">
                  <c:v>ИКТ</c:v>
                </c:pt>
                <c:pt idx="3">
                  <c:v>Наука и образование</c:v>
                </c:pt>
                <c:pt idx="4">
                  <c:v>Разв рыночной инфраструктуры</c:v>
                </c:pt>
                <c:pt idx="5">
                  <c:v>Труд</c:v>
                </c:pt>
                <c:pt idx="6">
                  <c:v>с/х</c:v>
                </c:pt>
                <c:pt idx="7">
                  <c:v>Инвестиционная привлекательность</c:v>
                </c:pt>
                <c:pt idx="8">
                  <c:v>энергетика</c:v>
                </c:pt>
                <c:pt idx="9">
                  <c:v>Криминальный фактор</c:v>
                </c:pt>
                <c:pt idx="10">
                  <c:v>Транспорт</c:v>
                </c:pt>
                <c:pt idx="11">
                  <c:v>Экологическое благополучие</c:v>
                </c:pt>
              </c:strCache>
            </c:strRef>
          </c:cat>
          <c:val>
            <c:numRef>
              <c:f>Лист2!$C$24:$C$35</c:f>
              <c:numCache>
                <c:formatCode>General</c:formatCode>
                <c:ptCount val="12"/>
                <c:pt idx="0">
                  <c:v>0.97</c:v>
                </c:pt>
                <c:pt idx="1">
                  <c:v>0.96</c:v>
                </c:pt>
                <c:pt idx="2">
                  <c:v>0.95</c:v>
                </c:pt>
                <c:pt idx="3">
                  <c:v>0.94</c:v>
                </c:pt>
                <c:pt idx="4">
                  <c:v>0.85</c:v>
                </c:pt>
                <c:pt idx="5">
                  <c:v>0.76</c:v>
                </c:pt>
                <c:pt idx="6">
                  <c:v>0.76</c:v>
                </c:pt>
                <c:pt idx="7">
                  <c:v>0.75</c:v>
                </c:pt>
                <c:pt idx="8">
                  <c:v>0.33</c:v>
                </c:pt>
                <c:pt idx="9">
                  <c:v>-0.33</c:v>
                </c:pt>
                <c:pt idx="10">
                  <c:v>-0.36</c:v>
                </c:pt>
                <c:pt idx="11">
                  <c:v>-0.93</c:v>
                </c:pt>
              </c:numCache>
            </c:numRef>
          </c:val>
        </c:ser>
        <c:dLbls>
          <c:showLegendKey val="0"/>
          <c:showVal val="0"/>
          <c:showCatName val="0"/>
          <c:showSerName val="0"/>
          <c:showPercent val="0"/>
          <c:showBubbleSize val="0"/>
        </c:dLbls>
        <c:axId val="-520404384"/>
        <c:axId val="-520403296"/>
      </c:radarChart>
      <c:catAx>
        <c:axId val="-520404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3296"/>
        <c:crosses val="autoZero"/>
        <c:auto val="1"/>
        <c:lblAlgn val="ctr"/>
        <c:lblOffset val="100"/>
        <c:noMultiLvlLbl val="0"/>
      </c:catAx>
      <c:valAx>
        <c:axId val="-52040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40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Лист2!$B$41:$B$52</c:f>
              <c:strCache>
                <c:ptCount val="12"/>
                <c:pt idx="0">
                  <c:v>ИКТ</c:v>
                </c:pt>
                <c:pt idx="1">
                  <c:v>промышленность</c:v>
                </c:pt>
                <c:pt idx="2">
                  <c:v>демографический</c:v>
                </c:pt>
                <c:pt idx="3">
                  <c:v>Наука и образование</c:v>
                </c:pt>
                <c:pt idx="4">
                  <c:v>Разв рыночной инфраструктуры</c:v>
                </c:pt>
                <c:pt idx="5">
                  <c:v>Труд</c:v>
                </c:pt>
                <c:pt idx="6">
                  <c:v>Транспорт</c:v>
                </c:pt>
                <c:pt idx="7">
                  <c:v>Инвестиционная привлекательность</c:v>
                </c:pt>
                <c:pt idx="8">
                  <c:v>с/х</c:v>
                </c:pt>
                <c:pt idx="9">
                  <c:v>энергетика</c:v>
                </c:pt>
                <c:pt idx="10">
                  <c:v>Экологическое благополучие</c:v>
                </c:pt>
                <c:pt idx="11">
                  <c:v>Криминальный фактор</c:v>
                </c:pt>
              </c:strCache>
            </c:strRef>
          </c:cat>
          <c:val>
            <c:numRef>
              <c:f>Лист2!$C$41:$C$52</c:f>
              <c:numCache>
                <c:formatCode>General</c:formatCode>
                <c:ptCount val="12"/>
                <c:pt idx="0">
                  <c:v>0.94</c:v>
                </c:pt>
                <c:pt idx="1">
                  <c:v>0.86</c:v>
                </c:pt>
                <c:pt idx="2">
                  <c:v>0.85</c:v>
                </c:pt>
                <c:pt idx="3">
                  <c:v>0.82</c:v>
                </c:pt>
                <c:pt idx="4">
                  <c:v>0.79</c:v>
                </c:pt>
                <c:pt idx="5">
                  <c:v>0.78</c:v>
                </c:pt>
                <c:pt idx="6">
                  <c:v>0.67</c:v>
                </c:pt>
                <c:pt idx="7">
                  <c:v>0.42</c:v>
                </c:pt>
                <c:pt idx="8">
                  <c:v>0.25</c:v>
                </c:pt>
                <c:pt idx="9">
                  <c:v>-0.3</c:v>
                </c:pt>
                <c:pt idx="10">
                  <c:v>-0.7</c:v>
                </c:pt>
                <c:pt idx="11">
                  <c:v>-0.93</c:v>
                </c:pt>
              </c:numCache>
            </c:numRef>
          </c:val>
        </c:ser>
        <c:dLbls>
          <c:showLegendKey val="0"/>
          <c:showVal val="0"/>
          <c:showCatName val="0"/>
          <c:showSerName val="0"/>
          <c:showPercent val="0"/>
          <c:showBubbleSize val="0"/>
        </c:dLbls>
        <c:axId val="-519194528"/>
        <c:axId val="-519185824"/>
      </c:radarChart>
      <c:catAx>
        <c:axId val="-51919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85824"/>
        <c:crosses val="autoZero"/>
        <c:auto val="1"/>
        <c:lblAlgn val="ctr"/>
        <c:lblOffset val="100"/>
        <c:noMultiLvlLbl val="0"/>
      </c:catAx>
      <c:valAx>
        <c:axId val="-51918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94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Лист2!$B$61:$B$72</c:f>
              <c:strCache>
                <c:ptCount val="12"/>
                <c:pt idx="0">
                  <c:v>промышленность</c:v>
                </c:pt>
                <c:pt idx="1">
                  <c:v>Наука и образование</c:v>
                </c:pt>
                <c:pt idx="2">
                  <c:v>демографический</c:v>
                </c:pt>
                <c:pt idx="3">
                  <c:v>Труд</c:v>
                </c:pt>
                <c:pt idx="4">
                  <c:v>Инвестиционная привлекательность</c:v>
                </c:pt>
                <c:pt idx="5">
                  <c:v>Разв рыночной инфраструктуры</c:v>
                </c:pt>
                <c:pt idx="6">
                  <c:v>ИКТ</c:v>
                </c:pt>
                <c:pt idx="7">
                  <c:v>с/х</c:v>
                </c:pt>
                <c:pt idx="8">
                  <c:v>энергетика</c:v>
                </c:pt>
                <c:pt idx="9">
                  <c:v>Транспорт</c:v>
                </c:pt>
                <c:pt idx="10">
                  <c:v>Криминальный фактор</c:v>
                </c:pt>
                <c:pt idx="11">
                  <c:v>Экологическое благополучие</c:v>
                </c:pt>
              </c:strCache>
            </c:strRef>
          </c:cat>
          <c:val>
            <c:numRef>
              <c:f>Лист2!$C$61:$C$72</c:f>
              <c:numCache>
                <c:formatCode>General</c:formatCode>
                <c:ptCount val="12"/>
                <c:pt idx="0">
                  <c:v>0.98</c:v>
                </c:pt>
                <c:pt idx="1">
                  <c:v>0.95</c:v>
                </c:pt>
                <c:pt idx="2">
                  <c:v>0.92</c:v>
                </c:pt>
                <c:pt idx="3">
                  <c:v>0.88</c:v>
                </c:pt>
                <c:pt idx="4">
                  <c:v>0.84</c:v>
                </c:pt>
                <c:pt idx="5">
                  <c:v>0.73</c:v>
                </c:pt>
                <c:pt idx="6">
                  <c:v>0.71</c:v>
                </c:pt>
                <c:pt idx="7">
                  <c:v>-0.27</c:v>
                </c:pt>
                <c:pt idx="8">
                  <c:v>-0.61</c:v>
                </c:pt>
                <c:pt idx="9">
                  <c:v>-0.75</c:v>
                </c:pt>
                <c:pt idx="10">
                  <c:v>-0.88</c:v>
                </c:pt>
                <c:pt idx="11">
                  <c:v>-0.88</c:v>
                </c:pt>
              </c:numCache>
            </c:numRef>
          </c:val>
        </c:ser>
        <c:dLbls>
          <c:showLegendKey val="0"/>
          <c:showVal val="0"/>
          <c:showCatName val="0"/>
          <c:showSerName val="0"/>
          <c:showPercent val="0"/>
          <c:showBubbleSize val="0"/>
        </c:dLbls>
        <c:axId val="-519193984"/>
        <c:axId val="-519189088"/>
      </c:radarChart>
      <c:catAx>
        <c:axId val="-51919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89088"/>
        <c:crosses val="autoZero"/>
        <c:auto val="1"/>
        <c:lblAlgn val="ctr"/>
        <c:lblOffset val="100"/>
        <c:noMultiLvlLbl val="0"/>
      </c:catAx>
      <c:valAx>
        <c:axId val="-51918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193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0629F0-16BC-441C-A320-49DFAC363425}" type="doc">
      <dgm:prSet loTypeId="urn:microsoft.com/office/officeart/2011/layout/HexagonRadial" loCatId="cycle" qsTypeId="urn:microsoft.com/office/officeart/2005/8/quickstyle/simple1" qsCatId="simple" csTypeId="urn:microsoft.com/office/officeart/2005/8/colors/accent1_2" csCatId="accent1" phldr="1"/>
      <dgm:spPr/>
      <dgm:t>
        <a:bodyPr/>
        <a:lstStyle/>
        <a:p>
          <a:endParaRPr lang="ru-RU"/>
        </a:p>
      </dgm:t>
    </dgm:pt>
    <dgm:pt modelId="{C7742773-1C45-4935-8445-6008D2623A93}">
      <dgm:prSet phldrT="[Текст]" custT="1"/>
      <dgm:spPr>
        <a:xfrm>
          <a:off x="2227365" y="1186087"/>
          <a:ext cx="1507568" cy="130410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50">
              <a:solidFill>
                <a:sysClr val="window" lastClr="FFFFFF"/>
              </a:solidFill>
              <a:latin typeface="Calibri"/>
              <a:ea typeface="+mn-ea"/>
              <a:cs typeface="+mn-cs"/>
            </a:rPr>
            <a:t>Организационно-экономичнское развитие производительных сил региона</a:t>
          </a:r>
        </a:p>
      </dgm:t>
    </dgm:pt>
    <dgm:pt modelId="{C9F66F9C-A232-4D48-ADAC-107258EFF1A4}" type="parTrans" cxnId="{E0CAB440-607D-4118-B7A1-CB87CFEC3466}">
      <dgm:prSet/>
      <dgm:spPr/>
      <dgm:t>
        <a:bodyPr/>
        <a:lstStyle/>
        <a:p>
          <a:endParaRPr lang="ru-RU"/>
        </a:p>
      </dgm:t>
    </dgm:pt>
    <dgm:pt modelId="{F5303331-3B1E-4630-A1C1-29D8E429E783}" type="sibTrans" cxnId="{E0CAB440-607D-4118-B7A1-CB87CFEC3466}">
      <dgm:prSet/>
      <dgm:spPr/>
      <dgm:t>
        <a:bodyPr/>
        <a:lstStyle/>
        <a:p>
          <a:endParaRPr lang="ru-RU"/>
        </a:p>
      </dgm:t>
    </dgm:pt>
    <dgm:pt modelId="{8A90C09B-3C7C-443D-A238-DB3E6D86C435}">
      <dgm:prSet phldrT="[Текст]" custT="1"/>
      <dgm:spPr>
        <a:xfrm>
          <a:off x="2366234" y="0"/>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900">
              <a:solidFill>
                <a:sysClr val="window" lastClr="FFFFFF"/>
              </a:solidFill>
              <a:latin typeface="Calibri"/>
              <a:ea typeface="+mn-ea"/>
              <a:cs typeface="+mn-cs"/>
            </a:rPr>
            <a:t>Ресурсная база (инфраструктурное развитие)</a:t>
          </a:r>
        </a:p>
      </dgm:t>
    </dgm:pt>
    <dgm:pt modelId="{460A54A5-61E1-4C70-8132-81EEC84C4F94}" type="parTrans" cxnId="{F5DBE799-A205-4E5C-AD43-CB6867F17E56}">
      <dgm:prSet/>
      <dgm:spPr/>
      <dgm:t>
        <a:bodyPr/>
        <a:lstStyle/>
        <a:p>
          <a:endParaRPr lang="ru-RU"/>
        </a:p>
      </dgm:t>
    </dgm:pt>
    <dgm:pt modelId="{E9246AE7-2A1B-449D-8596-C210B5950667}" type="sibTrans" cxnId="{F5DBE799-A205-4E5C-AD43-CB6867F17E56}">
      <dgm:prSet/>
      <dgm:spPr/>
      <dgm:t>
        <a:bodyPr/>
        <a:lstStyle/>
        <a:p>
          <a:endParaRPr lang="ru-RU"/>
        </a:p>
      </dgm:t>
    </dgm:pt>
    <dgm:pt modelId="{59A06D5F-972B-4B75-935F-F62EF5C3532B}">
      <dgm:prSet phldrT="[Текст]" custT="1"/>
      <dgm:spPr>
        <a:xfrm>
          <a:off x="3499277" y="657385"/>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50">
              <a:solidFill>
                <a:sysClr val="window" lastClr="FFFFFF"/>
              </a:solidFill>
              <a:latin typeface="Calibri"/>
              <a:ea typeface="+mn-ea"/>
              <a:cs typeface="+mn-cs"/>
            </a:rPr>
            <a:t>Инвестиционная привлекательность региона</a:t>
          </a:r>
        </a:p>
      </dgm:t>
    </dgm:pt>
    <dgm:pt modelId="{764C7C60-AA5C-4637-8B05-9DFC51DF7279}" type="parTrans" cxnId="{546A65A1-6DB5-481E-ADD6-0F22A7991463}">
      <dgm:prSet/>
      <dgm:spPr/>
      <dgm:t>
        <a:bodyPr/>
        <a:lstStyle/>
        <a:p>
          <a:endParaRPr lang="ru-RU"/>
        </a:p>
      </dgm:t>
    </dgm:pt>
    <dgm:pt modelId="{CA12E734-7F3A-4E03-AA2E-F8EB166D7728}" type="sibTrans" cxnId="{546A65A1-6DB5-481E-ADD6-0F22A7991463}">
      <dgm:prSet/>
      <dgm:spPr/>
      <dgm:t>
        <a:bodyPr/>
        <a:lstStyle/>
        <a:p>
          <a:endParaRPr lang="ru-RU"/>
        </a:p>
      </dgm:t>
    </dgm:pt>
    <dgm:pt modelId="{AC057388-293A-4474-AF54-00930DF8A02C}">
      <dgm:prSet phldrT="[Текст]" custT="1"/>
      <dgm:spPr>
        <a:xfrm>
          <a:off x="3499277" y="1949727"/>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Calibri"/>
              <a:ea typeface="+mn-ea"/>
              <a:cs typeface="+mn-cs"/>
            </a:rPr>
            <a:t>Механизмы инновационного воспроизводства</a:t>
          </a:r>
        </a:p>
      </dgm:t>
    </dgm:pt>
    <dgm:pt modelId="{B31B5BB7-68FF-46C8-A96C-10E5D6D98E52}" type="parTrans" cxnId="{DABCB08A-1880-41A7-91D2-FD0C3254CC49}">
      <dgm:prSet/>
      <dgm:spPr/>
      <dgm:t>
        <a:bodyPr/>
        <a:lstStyle/>
        <a:p>
          <a:endParaRPr lang="ru-RU"/>
        </a:p>
      </dgm:t>
    </dgm:pt>
    <dgm:pt modelId="{2A9F7AC6-C259-4AF0-8F51-DAC4AD54EF5C}" type="sibTrans" cxnId="{DABCB08A-1880-41A7-91D2-FD0C3254CC49}">
      <dgm:prSet/>
      <dgm:spPr/>
      <dgm:t>
        <a:bodyPr/>
        <a:lstStyle/>
        <a:p>
          <a:endParaRPr lang="ru-RU"/>
        </a:p>
      </dgm:t>
    </dgm:pt>
    <dgm:pt modelId="{8C4B20C0-1D15-4DC5-BA28-DDA3FFD757FD}">
      <dgm:prSet phldrT="[Текст]" custT="1"/>
      <dgm:spPr>
        <a:xfrm>
          <a:off x="2366234" y="2607847"/>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Calibri"/>
              <a:ea typeface="+mn-ea"/>
              <a:cs typeface="+mn-cs"/>
            </a:rPr>
            <a:t>Институциональные факторы</a:t>
          </a:r>
        </a:p>
      </dgm:t>
    </dgm:pt>
    <dgm:pt modelId="{27D41359-0BB9-492D-8A0E-564E02F2576E}" type="parTrans" cxnId="{E271FCFC-8D8F-4480-966C-32F6F8A8B526}">
      <dgm:prSet/>
      <dgm:spPr/>
      <dgm:t>
        <a:bodyPr/>
        <a:lstStyle/>
        <a:p>
          <a:endParaRPr lang="ru-RU"/>
        </a:p>
      </dgm:t>
    </dgm:pt>
    <dgm:pt modelId="{BA19ACBF-5954-4D3B-A0CB-669B6C17EF39}" type="sibTrans" cxnId="{E271FCFC-8D8F-4480-966C-32F6F8A8B526}">
      <dgm:prSet/>
      <dgm:spPr/>
      <dgm:t>
        <a:bodyPr/>
        <a:lstStyle/>
        <a:p>
          <a:endParaRPr lang="ru-RU"/>
        </a:p>
      </dgm:t>
    </dgm:pt>
    <dgm:pt modelId="{3D15BE33-C1BA-4B70-BF76-1D707D29011A}">
      <dgm:prSet phldrT="[Текст]" custT="1"/>
      <dgm:spPr>
        <a:xfrm>
          <a:off x="1227930" y="1950462"/>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Calibri"/>
              <a:ea typeface="+mn-ea"/>
              <a:cs typeface="+mn-cs"/>
            </a:rPr>
            <a:t>Социально-экологические особенности развития региона</a:t>
          </a:r>
        </a:p>
      </dgm:t>
    </dgm:pt>
    <dgm:pt modelId="{4CEB0471-1CE6-42DC-9CB4-25FD03D425C6}" type="parTrans" cxnId="{F73ACC59-489B-4DB5-8AF7-1F1E1B5808CD}">
      <dgm:prSet/>
      <dgm:spPr/>
      <dgm:t>
        <a:bodyPr/>
        <a:lstStyle/>
        <a:p>
          <a:endParaRPr lang="ru-RU"/>
        </a:p>
      </dgm:t>
    </dgm:pt>
    <dgm:pt modelId="{BC0DD9DB-D5F9-43AA-94D9-C2C881966CA8}" type="sibTrans" cxnId="{F73ACC59-489B-4DB5-8AF7-1F1E1B5808CD}">
      <dgm:prSet/>
      <dgm:spPr/>
      <dgm:t>
        <a:bodyPr/>
        <a:lstStyle/>
        <a:p>
          <a:endParaRPr lang="ru-RU"/>
        </a:p>
      </dgm:t>
    </dgm:pt>
    <dgm:pt modelId="{4A0D15EC-7921-46B6-9939-CE9380EBB753}">
      <dgm:prSet phldrT="[Текст]" custT="1"/>
      <dgm:spPr>
        <a:xfrm>
          <a:off x="1227930" y="655914"/>
          <a:ext cx="1235441" cy="10688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900">
              <a:solidFill>
                <a:sysClr val="window" lastClr="FFFFFF"/>
              </a:solidFill>
              <a:latin typeface="Calibri"/>
              <a:ea typeface="+mn-ea"/>
              <a:cs typeface="+mn-cs"/>
            </a:rPr>
            <a:t>«Демографический каркас» промышленно-индустриального развития региона</a:t>
          </a:r>
        </a:p>
      </dgm:t>
    </dgm:pt>
    <dgm:pt modelId="{963AD614-1C48-458D-AD21-36FAD32743E5}" type="parTrans" cxnId="{B9D92FE1-1046-4A02-99AA-8DDB82C735A4}">
      <dgm:prSet/>
      <dgm:spPr/>
      <dgm:t>
        <a:bodyPr/>
        <a:lstStyle/>
        <a:p>
          <a:endParaRPr lang="ru-RU"/>
        </a:p>
      </dgm:t>
    </dgm:pt>
    <dgm:pt modelId="{88E81E10-7081-4A75-8DBA-10F800512BDE}" type="sibTrans" cxnId="{B9D92FE1-1046-4A02-99AA-8DDB82C735A4}">
      <dgm:prSet/>
      <dgm:spPr/>
      <dgm:t>
        <a:bodyPr/>
        <a:lstStyle/>
        <a:p>
          <a:endParaRPr lang="ru-RU"/>
        </a:p>
      </dgm:t>
    </dgm:pt>
    <dgm:pt modelId="{A7AC216E-5D13-431C-85E3-9154063397E5}" type="pres">
      <dgm:prSet presAssocID="{6C0629F0-16BC-441C-A320-49DFAC363425}" presName="Name0" presStyleCnt="0">
        <dgm:presLayoutVars>
          <dgm:chMax val="1"/>
          <dgm:chPref val="1"/>
          <dgm:dir/>
          <dgm:animOne val="branch"/>
          <dgm:animLvl val="lvl"/>
        </dgm:presLayoutVars>
      </dgm:prSet>
      <dgm:spPr/>
      <dgm:t>
        <a:bodyPr/>
        <a:lstStyle/>
        <a:p>
          <a:endParaRPr lang="ru-RU"/>
        </a:p>
      </dgm:t>
    </dgm:pt>
    <dgm:pt modelId="{802CAA38-4B8E-46F1-B79C-FE78E3A5FAA7}" type="pres">
      <dgm:prSet presAssocID="{C7742773-1C45-4935-8445-6008D2623A93}" presName="Parent" presStyleLbl="node0" presStyleIdx="0" presStyleCnt="1">
        <dgm:presLayoutVars>
          <dgm:chMax val="6"/>
          <dgm:chPref val="6"/>
        </dgm:presLayoutVars>
      </dgm:prSet>
      <dgm:spPr>
        <a:prstGeom prst="hexagon">
          <a:avLst>
            <a:gd name="adj" fmla="val 28570"/>
            <a:gd name="vf" fmla="val 115470"/>
          </a:avLst>
        </a:prstGeom>
      </dgm:spPr>
      <dgm:t>
        <a:bodyPr/>
        <a:lstStyle/>
        <a:p>
          <a:endParaRPr lang="ru-RU"/>
        </a:p>
      </dgm:t>
    </dgm:pt>
    <dgm:pt modelId="{44AAA32D-D43A-4672-BB7D-A44449A2498C}" type="pres">
      <dgm:prSet presAssocID="{8A90C09B-3C7C-443D-A238-DB3E6D86C435}" presName="Accent1" presStyleCnt="0"/>
      <dgm:spPr/>
    </dgm:pt>
    <dgm:pt modelId="{84DCFDBC-EE4C-40F8-A637-0AFC46D85CC1}" type="pres">
      <dgm:prSet presAssocID="{8A90C09B-3C7C-443D-A238-DB3E6D86C435}" presName="Accent" presStyleLbl="bgShp" presStyleIdx="0" presStyleCnt="6"/>
      <dgm:spPr/>
    </dgm:pt>
    <dgm:pt modelId="{A283A761-8023-436C-93EA-6B13345D73AE}" type="pres">
      <dgm:prSet presAssocID="{8A90C09B-3C7C-443D-A238-DB3E6D86C435}" presName="Child1" presStyleLbl="node1" presStyleIdx="0"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87F7CB05-832D-4084-B56D-F5B55DCE31DF}" type="pres">
      <dgm:prSet presAssocID="{59A06D5F-972B-4B75-935F-F62EF5C3532B}" presName="Accent2" presStyleCnt="0"/>
      <dgm:spPr/>
    </dgm:pt>
    <dgm:pt modelId="{720EE792-26AE-4087-85AB-6B0572E7A274}" type="pres">
      <dgm:prSet presAssocID="{59A06D5F-972B-4B75-935F-F62EF5C3532B}" presName="Accent" presStyleLbl="bgShp" presStyleIdx="1" presStyleCnt="6"/>
      <dgm:spPr>
        <a:xfrm>
          <a:off x="3171392" y="562159"/>
          <a:ext cx="568801" cy="490097"/>
        </a:xfrm>
        <a:prstGeom prst="hexagon">
          <a:avLst>
            <a:gd name="adj" fmla="val 28900"/>
            <a:gd name="vf" fmla="val 115470"/>
          </a:avLst>
        </a:prstGeom>
        <a:solidFill>
          <a:srgbClr val="4F81BD">
            <a:tint val="40000"/>
            <a:hueOff val="0"/>
            <a:satOff val="0"/>
            <a:lumOff val="0"/>
            <a:alphaOff val="0"/>
          </a:srgbClr>
        </a:solidFill>
        <a:ln>
          <a:noFill/>
        </a:ln>
        <a:effectLst/>
      </dgm:spPr>
      <dgm:t>
        <a:bodyPr/>
        <a:lstStyle/>
        <a:p>
          <a:endParaRPr lang="ru-RU"/>
        </a:p>
      </dgm:t>
    </dgm:pt>
    <dgm:pt modelId="{2EB84DC6-53BE-43E0-ADFF-E0E22CD70C10}" type="pres">
      <dgm:prSet presAssocID="{59A06D5F-972B-4B75-935F-F62EF5C3532B}" presName="Child2" presStyleLbl="node1" presStyleIdx="1"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2CB928DA-222C-4CF1-B5A0-8833D604AC12}" type="pres">
      <dgm:prSet presAssocID="{AC057388-293A-4474-AF54-00930DF8A02C}" presName="Accent3" presStyleCnt="0"/>
      <dgm:spPr/>
    </dgm:pt>
    <dgm:pt modelId="{DB102142-F4E0-4439-8280-553A4BB1C294}" type="pres">
      <dgm:prSet presAssocID="{AC057388-293A-4474-AF54-00930DF8A02C}" presName="Accent" presStyleLbl="bgShp" presStyleIdx="2" presStyleCnt="6"/>
      <dgm:spPr>
        <a:xfrm>
          <a:off x="3835228" y="1478380"/>
          <a:ext cx="568801" cy="490097"/>
        </a:xfrm>
        <a:prstGeom prst="hexagon">
          <a:avLst>
            <a:gd name="adj" fmla="val 28900"/>
            <a:gd name="vf" fmla="val 115470"/>
          </a:avLst>
        </a:prstGeom>
        <a:solidFill>
          <a:srgbClr val="4F81BD">
            <a:tint val="40000"/>
            <a:hueOff val="0"/>
            <a:satOff val="0"/>
            <a:lumOff val="0"/>
            <a:alphaOff val="0"/>
          </a:srgbClr>
        </a:solidFill>
        <a:ln>
          <a:noFill/>
        </a:ln>
        <a:effectLst/>
      </dgm:spPr>
      <dgm:t>
        <a:bodyPr/>
        <a:lstStyle/>
        <a:p>
          <a:endParaRPr lang="ru-RU"/>
        </a:p>
      </dgm:t>
    </dgm:pt>
    <dgm:pt modelId="{9F950CF1-2057-4999-B51F-F9F988028375}" type="pres">
      <dgm:prSet presAssocID="{AC057388-293A-4474-AF54-00930DF8A02C}" presName="Child3" presStyleLbl="node1" presStyleIdx="2"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32E0EDC-AF0B-492C-9B05-1C8CA8EEF31A}" type="pres">
      <dgm:prSet presAssocID="{8C4B20C0-1D15-4DC5-BA28-DDA3FFD757FD}" presName="Accent4" presStyleCnt="0"/>
      <dgm:spPr/>
    </dgm:pt>
    <dgm:pt modelId="{EECC4D9D-61DC-439D-AA96-5D01E235DF22}" type="pres">
      <dgm:prSet presAssocID="{8C4B20C0-1D15-4DC5-BA28-DDA3FFD757FD}" presName="Accent" presStyleLbl="bgShp" presStyleIdx="3" presStyleCnt="6"/>
      <dgm:spPr>
        <a:xfrm>
          <a:off x="3374085" y="2512622"/>
          <a:ext cx="568801" cy="490097"/>
        </a:xfrm>
        <a:prstGeom prst="hexagon">
          <a:avLst>
            <a:gd name="adj" fmla="val 28900"/>
            <a:gd name="vf" fmla="val 115470"/>
          </a:avLst>
        </a:prstGeom>
        <a:solidFill>
          <a:srgbClr val="4F81BD">
            <a:tint val="40000"/>
            <a:hueOff val="0"/>
            <a:satOff val="0"/>
            <a:lumOff val="0"/>
            <a:alphaOff val="0"/>
          </a:srgbClr>
        </a:solidFill>
        <a:ln>
          <a:noFill/>
        </a:ln>
        <a:effectLst/>
      </dgm:spPr>
      <dgm:t>
        <a:bodyPr/>
        <a:lstStyle/>
        <a:p>
          <a:endParaRPr lang="ru-RU"/>
        </a:p>
      </dgm:t>
    </dgm:pt>
    <dgm:pt modelId="{02BF36B6-AB9E-48DB-86F1-9AC9151C9E71}" type="pres">
      <dgm:prSet presAssocID="{8C4B20C0-1D15-4DC5-BA28-DDA3FFD757FD}" presName="Child4" presStyleLbl="node1" presStyleIdx="3"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936EF9E8-1623-4D52-AD3E-2511AB40DC20}" type="pres">
      <dgm:prSet presAssocID="{3D15BE33-C1BA-4B70-BF76-1D707D29011A}" presName="Accent5" presStyleCnt="0"/>
      <dgm:spPr/>
    </dgm:pt>
    <dgm:pt modelId="{F89117B6-4A28-4115-98AA-CC9E81A4A751}" type="pres">
      <dgm:prSet presAssocID="{3D15BE33-C1BA-4B70-BF76-1D707D29011A}" presName="Accent" presStyleLbl="bgShp" presStyleIdx="4" presStyleCnt="6"/>
      <dgm:spPr>
        <a:xfrm>
          <a:off x="2230170" y="2619980"/>
          <a:ext cx="568801" cy="490097"/>
        </a:xfrm>
        <a:prstGeom prst="hexagon">
          <a:avLst>
            <a:gd name="adj" fmla="val 28900"/>
            <a:gd name="vf" fmla="val 115470"/>
          </a:avLst>
        </a:prstGeom>
        <a:solidFill>
          <a:srgbClr val="4F81BD">
            <a:tint val="40000"/>
            <a:hueOff val="0"/>
            <a:satOff val="0"/>
            <a:lumOff val="0"/>
            <a:alphaOff val="0"/>
          </a:srgbClr>
        </a:solidFill>
        <a:ln>
          <a:noFill/>
        </a:ln>
        <a:effectLst/>
      </dgm:spPr>
      <dgm:t>
        <a:bodyPr/>
        <a:lstStyle/>
        <a:p>
          <a:endParaRPr lang="ru-RU"/>
        </a:p>
      </dgm:t>
    </dgm:pt>
    <dgm:pt modelId="{A3412DB5-DD98-45DC-BC73-C7D125770751}" type="pres">
      <dgm:prSet presAssocID="{3D15BE33-C1BA-4B70-BF76-1D707D29011A}" presName="Child5" presStyleLbl="node1" presStyleIdx="4"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97B58C4-D483-4697-BDB0-07D59E1D4952}" type="pres">
      <dgm:prSet presAssocID="{4A0D15EC-7921-46B6-9939-CE9380EBB753}" presName="Accent6" presStyleCnt="0"/>
      <dgm:spPr/>
    </dgm:pt>
    <dgm:pt modelId="{8309258B-48D4-47E3-8C3F-EF1D159EDD9A}" type="pres">
      <dgm:prSet presAssocID="{4A0D15EC-7921-46B6-9939-CE9380EBB753}" presName="Accent" presStyleLbl="bgShp" presStyleIdx="5" presStyleCnt="6"/>
      <dgm:spPr>
        <a:xfrm>
          <a:off x="1555464" y="1704127"/>
          <a:ext cx="568801" cy="490097"/>
        </a:xfrm>
        <a:prstGeom prst="hexagon">
          <a:avLst>
            <a:gd name="adj" fmla="val 28900"/>
            <a:gd name="vf" fmla="val 115470"/>
          </a:avLst>
        </a:prstGeom>
        <a:solidFill>
          <a:srgbClr val="4F81BD">
            <a:tint val="40000"/>
            <a:hueOff val="0"/>
            <a:satOff val="0"/>
            <a:lumOff val="0"/>
            <a:alphaOff val="0"/>
          </a:srgbClr>
        </a:solidFill>
        <a:ln>
          <a:noFill/>
        </a:ln>
        <a:effectLst/>
      </dgm:spPr>
      <dgm:t>
        <a:bodyPr/>
        <a:lstStyle/>
        <a:p>
          <a:endParaRPr lang="ru-RU"/>
        </a:p>
      </dgm:t>
    </dgm:pt>
    <dgm:pt modelId="{2261AD43-D79E-4D8A-AF1D-F54BFB79F14B}" type="pres">
      <dgm:prSet presAssocID="{4A0D15EC-7921-46B6-9939-CE9380EBB753}" presName="Child6" presStyleLbl="node1" presStyleIdx="5" presStyleCnt="6">
        <dgm:presLayoutVars>
          <dgm:chMax val="0"/>
          <dgm:chPref val="0"/>
          <dgm:bulletEnabled val="1"/>
        </dgm:presLayoutVars>
      </dgm:prSet>
      <dgm:spPr>
        <a:prstGeom prst="hexagon">
          <a:avLst>
            <a:gd name="adj" fmla="val 28570"/>
            <a:gd name="vf" fmla="val 115470"/>
          </a:avLst>
        </a:prstGeom>
      </dgm:spPr>
      <dgm:t>
        <a:bodyPr/>
        <a:lstStyle/>
        <a:p>
          <a:endParaRPr lang="ru-RU"/>
        </a:p>
      </dgm:t>
    </dgm:pt>
  </dgm:ptLst>
  <dgm:cxnLst>
    <dgm:cxn modelId="{1125004A-6CA2-4AC3-841C-677A604B9C65}" type="presOf" srcId="{59A06D5F-972B-4B75-935F-F62EF5C3532B}" destId="{2EB84DC6-53BE-43E0-ADFF-E0E22CD70C10}" srcOrd="0" destOrd="0" presId="urn:microsoft.com/office/officeart/2011/layout/HexagonRadial"/>
    <dgm:cxn modelId="{F73ACC59-489B-4DB5-8AF7-1F1E1B5808CD}" srcId="{C7742773-1C45-4935-8445-6008D2623A93}" destId="{3D15BE33-C1BA-4B70-BF76-1D707D29011A}" srcOrd="4" destOrd="0" parTransId="{4CEB0471-1CE6-42DC-9CB4-25FD03D425C6}" sibTransId="{BC0DD9DB-D5F9-43AA-94D9-C2C881966CA8}"/>
    <dgm:cxn modelId="{5B606246-C98D-440E-89E7-DAE201F3A719}" type="presOf" srcId="{3D15BE33-C1BA-4B70-BF76-1D707D29011A}" destId="{A3412DB5-DD98-45DC-BC73-C7D125770751}" srcOrd="0" destOrd="0" presId="urn:microsoft.com/office/officeart/2011/layout/HexagonRadial"/>
    <dgm:cxn modelId="{1845CE4E-246F-4A26-AADD-67D33E88CB44}" type="presOf" srcId="{C7742773-1C45-4935-8445-6008D2623A93}" destId="{802CAA38-4B8E-46F1-B79C-FE78E3A5FAA7}" srcOrd="0" destOrd="0" presId="urn:microsoft.com/office/officeart/2011/layout/HexagonRadial"/>
    <dgm:cxn modelId="{1013A4D9-14EA-4DBB-B3C4-95334429CA80}" type="presOf" srcId="{8C4B20C0-1D15-4DC5-BA28-DDA3FFD757FD}" destId="{02BF36B6-AB9E-48DB-86F1-9AC9151C9E71}" srcOrd="0" destOrd="0" presId="urn:microsoft.com/office/officeart/2011/layout/HexagonRadial"/>
    <dgm:cxn modelId="{E0CAB440-607D-4118-B7A1-CB87CFEC3466}" srcId="{6C0629F0-16BC-441C-A320-49DFAC363425}" destId="{C7742773-1C45-4935-8445-6008D2623A93}" srcOrd="0" destOrd="0" parTransId="{C9F66F9C-A232-4D48-ADAC-107258EFF1A4}" sibTransId="{F5303331-3B1E-4630-A1C1-29D8E429E783}"/>
    <dgm:cxn modelId="{546A65A1-6DB5-481E-ADD6-0F22A7991463}" srcId="{C7742773-1C45-4935-8445-6008D2623A93}" destId="{59A06D5F-972B-4B75-935F-F62EF5C3532B}" srcOrd="1" destOrd="0" parTransId="{764C7C60-AA5C-4637-8B05-9DFC51DF7279}" sibTransId="{CA12E734-7F3A-4E03-AA2E-F8EB166D7728}"/>
    <dgm:cxn modelId="{B5B0F3AA-A191-4D20-9585-B8F1A1424239}" type="presOf" srcId="{6C0629F0-16BC-441C-A320-49DFAC363425}" destId="{A7AC216E-5D13-431C-85E3-9154063397E5}" srcOrd="0" destOrd="0" presId="urn:microsoft.com/office/officeart/2011/layout/HexagonRadial"/>
    <dgm:cxn modelId="{23E1A4C7-0823-4EB3-A415-3339A624B876}" type="presOf" srcId="{8A90C09B-3C7C-443D-A238-DB3E6D86C435}" destId="{A283A761-8023-436C-93EA-6B13345D73AE}" srcOrd="0" destOrd="0" presId="urn:microsoft.com/office/officeart/2011/layout/HexagonRadial"/>
    <dgm:cxn modelId="{748A0819-2797-493B-92ED-84B7E11CC5C8}" type="presOf" srcId="{AC057388-293A-4474-AF54-00930DF8A02C}" destId="{9F950CF1-2057-4999-B51F-F9F988028375}" srcOrd="0" destOrd="0" presId="urn:microsoft.com/office/officeart/2011/layout/HexagonRadial"/>
    <dgm:cxn modelId="{F5DBE799-A205-4E5C-AD43-CB6867F17E56}" srcId="{C7742773-1C45-4935-8445-6008D2623A93}" destId="{8A90C09B-3C7C-443D-A238-DB3E6D86C435}" srcOrd="0" destOrd="0" parTransId="{460A54A5-61E1-4C70-8132-81EEC84C4F94}" sibTransId="{E9246AE7-2A1B-449D-8596-C210B5950667}"/>
    <dgm:cxn modelId="{E271FCFC-8D8F-4480-966C-32F6F8A8B526}" srcId="{C7742773-1C45-4935-8445-6008D2623A93}" destId="{8C4B20C0-1D15-4DC5-BA28-DDA3FFD757FD}" srcOrd="3" destOrd="0" parTransId="{27D41359-0BB9-492D-8A0E-564E02F2576E}" sibTransId="{BA19ACBF-5954-4D3B-A0CB-669B6C17EF39}"/>
    <dgm:cxn modelId="{B9D92FE1-1046-4A02-99AA-8DDB82C735A4}" srcId="{C7742773-1C45-4935-8445-6008D2623A93}" destId="{4A0D15EC-7921-46B6-9939-CE9380EBB753}" srcOrd="5" destOrd="0" parTransId="{963AD614-1C48-458D-AD21-36FAD32743E5}" sibTransId="{88E81E10-7081-4A75-8DBA-10F800512BDE}"/>
    <dgm:cxn modelId="{33C6C303-E11D-4CC6-99CF-ECF4C18C5A0F}" type="presOf" srcId="{4A0D15EC-7921-46B6-9939-CE9380EBB753}" destId="{2261AD43-D79E-4D8A-AF1D-F54BFB79F14B}" srcOrd="0" destOrd="0" presId="urn:microsoft.com/office/officeart/2011/layout/HexagonRadial"/>
    <dgm:cxn modelId="{DABCB08A-1880-41A7-91D2-FD0C3254CC49}" srcId="{C7742773-1C45-4935-8445-6008D2623A93}" destId="{AC057388-293A-4474-AF54-00930DF8A02C}" srcOrd="2" destOrd="0" parTransId="{B31B5BB7-68FF-46C8-A96C-10E5D6D98E52}" sibTransId="{2A9F7AC6-C259-4AF0-8F51-DAC4AD54EF5C}"/>
    <dgm:cxn modelId="{32F17241-AF90-4535-B642-F1E1E7C1E5E4}" type="presParOf" srcId="{A7AC216E-5D13-431C-85E3-9154063397E5}" destId="{802CAA38-4B8E-46F1-B79C-FE78E3A5FAA7}" srcOrd="0" destOrd="0" presId="urn:microsoft.com/office/officeart/2011/layout/HexagonRadial"/>
    <dgm:cxn modelId="{A758CB6C-D845-4DEA-B62E-242345DF1AE2}" type="presParOf" srcId="{A7AC216E-5D13-431C-85E3-9154063397E5}" destId="{44AAA32D-D43A-4672-BB7D-A44449A2498C}" srcOrd="1" destOrd="0" presId="urn:microsoft.com/office/officeart/2011/layout/HexagonRadial"/>
    <dgm:cxn modelId="{6A150EA8-FE04-4B81-827E-0E70D2CE53B5}" type="presParOf" srcId="{44AAA32D-D43A-4672-BB7D-A44449A2498C}" destId="{84DCFDBC-EE4C-40F8-A637-0AFC46D85CC1}" srcOrd="0" destOrd="0" presId="urn:microsoft.com/office/officeart/2011/layout/HexagonRadial"/>
    <dgm:cxn modelId="{63EF9CEE-53E7-4F89-B078-6603D5E3F260}" type="presParOf" srcId="{A7AC216E-5D13-431C-85E3-9154063397E5}" destId="{A283A761-8023-436C-93EA-6B13345D73AE}" srcOrd="2" destOrd="0" presId="urn:microsoft.com/office/officeart/2011/layout/HexagonRadial"/>
    <dgm:cxn modelId="{FC570AE1-3CDC-4D57-9C4C-90E118B8C0AC}" type="presParOf" srcId="{A7AC216E-5D13-431C-85E3-9154063397E5}" destId="{87F7CB05-832D-4084-B56D-F5B55DCE31DF}" srcOrd="3" destOrd="0" presId="urn:microsoft.com/office/officeart/2011/layout/HexagonRadial"/>
    <dgm:cxn modelId="{7BD92033-4120-4D8B-811B-CFCE9B63578D}" type="presParOf" srcId="{87F7CB05-832D-4084-B56D-F5B55DCE31DF}" destId="{720EE792-26AE-4087-85AB-6B0572E7A274}" srcOrd="0" destOrd="0" presId="urn:microsoft.com/office/officeart/2011/layout/HexagonRadial"/>
    <dgm:cxn modelId="{2E1FD06C-E855-4DC1-A5B1-7E09A91C1231}" type="presParOf" srcId="{A7AC216E-5D13-431C-85E3-9154063397E5}" destId="{2EB84DC6-53BE-43E0-ADFF-E0E22CD70C10}" srcOrd="4" destOrd="0" presId="urn:microsoft.com/office/officeart/2011/layout/HexagonRadial"/>
    <dgm:cxn modelId="{992A6B18-3F00-42FB-B39A-16F6C389280D}" type="presParOf" srcId="{A7AC216E-5D13-431C-85E3-9154063397E5}" destId="{2CB928DA-222C-4CF1-B5A0-8833D604AC12}" srcOrd="5" destOrd="0" presId="urn:microsoft.com/office/officeart/2011/layout/HexagonRadial"/>
    <dgm:cxn modelId="{1EB36DFE-E443-4E29-9444-C75B82597D43}" type="presParOf" srcId="{2CB928DA-222C-4CF1-B5A0-8833D604AC12}" destId="{DB102142-F4E0-4439-8280-553A4BB1C294}" srcOrd="0" destOrd="0" presId="urn:microsoft.com/office/officeart/2011/layout/HexagonRadial"/>
    <dgm:cxn modelId="{B745EC92-A423-43E9-81BF-A2F7F9C909A2}" type="presParOf" srcId="{A7AC216E-5D13-431C-85E3-9154063397E5}" destId="{9F950CF1-2057-4999-B51F-F9F988028375}" srcOrd="6" destOrd="0" presId="urn:microsoft.com/office/officeart/2011/layout/HexagonRadial"/>
    <dgm:cxn modelId="{902FD8B6-B6B6-4DD9-98DD-E0294C00F9BF}" type="presParOf" srcId="{A7AC216E-5D13-431C-85E3-9154063397E5}" destId="{A32E0EDC-AF0B-492C-9B05-1C8CA8EEF31A}" srcOrd="7" destOrd="0" presId="urn:microsoft.com/office/officeart/2011/layout/HexagonRadial"/>
    <dgm:cxn modelId="{B95D6D06-D05C-40A5-9617-3B40202F3C0B}" type="presParOf" srcId="{A32E0EDC-AF0B-492C-9B05-1C8CA8EEF31A}" destId="{EECC4D9D-61DC-439D-AA96-5D01E235DF22}" srcOrd="0" destOrd="0" presId="urn:microsoft.com/office/officeart/2011/layout/HexagonRadial"/>
    <dgm:cxn modelId="{F9B20F1B-D245-4ADF-AA81-6426CB96882B}" type="presParOf" srcId="{A7AC216E-5D13-431C-85E3-9154063397E5}" destId="{02BF36B6-AB9E-48DB-86F1-9AC9151C9E71}" srcOrd="8" destOrd="0" presId="urn:microsoft.com/office/officeart/2011/layout/HexagonRadial"/>
    <dgm:cxn modelId="{4BA135E6-859F-40ED-8607-CF0748018276}" type="presParOf" srcId="{A7AC216E-5D13-431C-85E3-9154063397E5}" destId="{936EF9E8-1623-4D52-AD3E-2511AB40DC20}" srcOrd="9" destOrd="0" presId="urn:microsoft.com/office/officeart/2011/layout/HexagonRadial"/>
    <dgm:cxn modelId="{33240A3D-E012-480B-8E32-6D93AD3F922D}" type="presParOf" srcId="{936EF9E8-1623-4D52-AD3E-2511AB40DC20}" destId="{F89117B6-4A28-4115-98AA-CC9E81A4A751}" srcOrd="0" destOrd="0" presId="urn:microsoft.com/office/officeart/2011/layout/HexagonRadial"/>
    <dgm:cxn modelId="{7903FFCF-702E-4A13-8408-ACDB13B49DF5}" type="presParOf" srcId="{A7AC216E-5D13-431C-85E3-9154063397E5}" destId="{A3412DB5-DD98-45DC-BC73-C7D125770751}" srcOrd="10" destOrd="0" presId="urn:microsoft.com/office/officeart/2011/layout/HexagonRadial"/>
    <dgm:cxn modelId="{689E584F-A6E4-49FE-B481-54252ECBF1D1}" type="presParOf" srcId="{A7AC216E-5D13-431C-85E3-9154063397E5}" destId="{A97B58C4-D483-4697-BDB0-07D59E1D4952}" srcOrd="11" destOrd="0" presId="urn:microsoft.com/office/officeart/2011/layout/HexagonRadial"/>
    <dgm:cxn modelId="{443AF792-5871-4131-A0BF-288CB4CD3FAD}" type="presParOf" srcId="{A97B58C4-D483-4697-BDB0-07D59E1D4952}" destId="{8309258B-48D4-47E3-8C3F-EF1D159EDD9A}" srcOrd="0" destOrd="0" presId="urn:microsoft.com/office/officeart/2011/layout/HexagonRadial"/>
    <dgm:cxn modelId="{E42546B4-DB49-43F3-B89B-0CD9D47244E6}" type="presParOf" srcId="{A7AC216E-5D13-431C-85E3-9154063397E5}" destId="{2261AD43-D79E-4D8A-AF1D-F54BFB79F14B}" srcOrd="12" destOrd="0" presId="urn:microsoft.com/office/officeart/2011/layout/HexagonRadial"/>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0D8FF0-68A7-4F97-84D1-5BEC81E4F2FA}" type="doc">
      <dgm:prSet loTypeId="urn:microsoft.com/office/officeart/2005/8/layout/pyramid3" loCatId="pyramid" qsTypeId="urn:microsoft.com/office/officeart/2005/8/quickstyle/simple1" qsCatId="simple" csTypeId="urn:microsoft.com/office/officeart/2005/8/colors/accent1_2" csCatId="accent1" phldr="1"/>
      <dgm:spPr/>
    </dgm:pt>
    <dgm:pt modelId="{73FDC8E2-5F71-4EC7-B10C-ACBBCC6BE3F2}">
      <dgm:prSet phldrT="[Текст]" custT="1"/>
      <dgm:spPr>
        <a:xfrm rot="10800000">
          <a:off x="0" y="0"/>
          <a:ext cx="5486400" cy="8001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800">
              <a:solidFill>
                <a:sysClr val="windowText" lastClr="000000">
                  <a:hueOff val="0"/>
                  <a:satOff val="0"/>
                  <a:lumOff val="0"/>
                  <a:alphaOff val="0"/>
                </a:sysClr>
              </a:solidFill>
              <a:latin typeface="Calibri"/>
              <a:ea typeface="+mn-ea"/>
              <a:cs typeface="+mn-cs"/>
            </a:rPr>
            <a:t>Самарская область</a:t>
          </a:r>
          <a:endParaRPr lang="ru-RU" sz="6400">
            <a:solidFill>
              <a:sysClr val="windowText" lastClr="000000">
                <a:hueOff val="0"/>
                <a:satOff val="0"/>
                <a:lumOff val="0"/>
                <a:alphaOff val="0"/>
              </a:sysClr>
            </a:solidFill>
            <a:latin typeface="Calibri"/>
            <a:ea typeface="+mn-ea"/>
            <a:cs typeface="+mn-cs"/>
          </a:endParaRPr>
        </a:p>
      </dgm:t>
    </dgm:pt>
    <dgm:pt modelId="{B128F0D2-8740-482B-9582-DE602A91BDB8}" type="parTrans" cxnId="{5943AD72-061B-4FF0-BDB8-6CEBF111CC67}">
      <dgm:prSet/>
      <dgm:spPr/>
    </dgm:pt>
    <dgm:pt modelId="{099BAC46-9B3E-4004-8137-EA1374DE7D05}" type="sibTrans" cxnId="{5943AD72-061B-4FF0-BDB8-6CEBF111CC67}">
      <dgm:prSet/>
      <dgm:spPr/>
    </dgm:pt>
    <dgm:pt modelId="{9BEDBFBC-F1CD-49FB-822C-0BCEDB2DF279}">
      <dgm:prSet phldrT="[Текст]" custT="1"/>
      <dgm:spPr>
        <a:xfrm rot="10800000">
          <a:off x="1371600" y="1600200"/>
          <a:ext cx="2743200" cy="8001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Text" lastClr="000000">
                  <a:hueOff val="0"/>
                  <a:satOff val="0"/>
                  <a:lumOff val="0"/>
                  <a:alphaOff val="0"/>
                </a:sysClr>
              </a:solidFill>
              <a:latin typeface="Calibri"/>
              <a:ea typeface="+mn-ea"/>
              <a:cs typeface="+mn-cs"/>
            </a:rPr>
            <a:t>Нижегородская область</a:t>
          </a:r>
        </a:p>
      </dgm:t>
    </dgm:pt>
    <dgm:pt modelId="{586B29A0-BA14-4780-9A71-58362FB26066}" type="parTrans" cxnId="{1E5168E0-4FC6-4190-AE66-FDD8CA75DCD3}">
      <dgm:prSet/>
      <dgm:spPr/>
    </dgm:pt>
    <dgm:pt modelId="{6E116CA8-89C9-470A-972A-6A9E53FBE327}" type="sibTrans" cxnId="{1E5168E0-4FC6-4190-AE66-FDD8CA75DCD3}">
      <dgm:prSet/>
      <dgm:spPr/>
    </dgm:pt>
    <dgm:pt modelId="{01BE9889-26BF-44E6-ADEA-8D078B7F2A4D}">
      <dgm:prSet phldrT="[Текст]" custT="1"/>
      <dgm:spPr>
        <a:xfrm rot="10800000">
          <a:off x="2057400" y="2400300"/>
          <a:ext cx="1371600" cy="8001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900">
              <a:solidFill>
                <a:sysClr val="windowText" lastClr="000000">
                  <a:hueOff val="0"/>
                  <a:satOff val="0"/>
                  <a:lumOff val="0"/>
                  <a:alphaOff val="0"/>
                </a:sysClr>
              </a:solidFill>
              <a:latin typeface="Calibri"/>
              <a:ea typeface="+mn-ea"/>
              <a:cs typeface="+mn-cs"/>
            </a:rPr>
            <a:t>Республика Башкортостан</a:t>
          </a:r>
        </a:p>
      </dgm:t>
    </dgm:pt>
    <dgm:pt modelId="{858EC3A6-3E36-42C8-95CA-BD17A21984B0}" type="parTrans" cxnId="{5164C4FF-48BC-494C-A9C2-19CC09CF8244}">
      <dgm:prSet/>
      <dgm:spPr/>
    </dgm:pt>
    <dgm:pt modelId="{2AA28BBF-1DC2-47B4-9CD6-7A17DF0E23C8}" type="sibTrans" cxnId="{5164C4FF-48BC-494C-A9C2-19CC09CF8244}">
      <dgm:prSet/>
      <dgm:spPr/>
    </dgm:pt>
    <dgm:pt modelId="{10B62C50-3E4A-41F5-A36C-AB92C56CEACA}">
      <dgm:prSet custT="1"/>
      <dgm:spPr>
        <a:xfrm rot="10800000">
          <a:off x="685799" y="800099"/>
          <a:ext cx="4114800" cy="8001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800" b="0">
              <a:solidFill>
                <a:sysClr val="windowText" lastClr="000000">
                  <a:hueOff val="0"/>
                  <a:satOff val="0"/>
                  <a:lumOff val="0"/>
                  <a:alphaOff val="0"/>
                </a:sysClr>
              </a:solidFill>
              <a:latin typeface="Calibri"/>
              <a:ea typeface="+mn-ea"/>
              <a:cs typeface="+mn-cs"/>
            </a:rPr>
            <a:t>Республика Татарстан</a:t>
          </a:r>
        </a:p>
      </dgm:t>
    </dgm:pt>
    <dgm:pt modelId="{B7A55B0C-B48E-4E56-8CD4-12403A18F3F1}" type="parTrans" cxnId="{772094F1-3591-4F2F-B52E-218A970372CD}">
      <dgm:prSet/>
      <dgm:spPr/>
    </dgm:pt>
    <dgm:pt modelId="{C8147AE5-8869-4236-91C4-C6CFD8AC7752}" type="sibTrans" cxnId="{772094F1-3591-4F2F-B52E-218A970372CD}">
      <dgm:prSet/>
      <dgm:spPr/>
    </dgm:pt>
    <dgm:pt modelId="{6525C476-8A4B-4819-9190-6816F7653A70}" type="pres">
      <dgm:prSet presAssocID="{6D0D8FF0-68A7-4F97-84D1-5BEC81E4F2FA}" presName="Name0" presStyleCnt="0">
        <dgm:presLayoutVars>
          <dgm:dir/>
          <dgm:animLvl val="lvl"/>
          <dgm:resizeHandles val="exact"/>
        </dgm:presLayoutVars>
      </dgm:prSet>
      <dgm:spPr/>
    </dgm:pt>
    <dgm:pt modelId="{D414B010-39C3-41FE-B1AB-7673E9AF272A}" type="pres">
      <dgm:prSet presAssocID="{73FDC8E2-5F71-4EC7-B10C-ACBBCC6BE3F2}" presName="Name8" presStyleCnt="0"/>
      <dgm:spPr/>
    </dgm:pt>
    <dgm:pt modelId="{C333112C-8990-487F-9171-C5A2B026D11E}" type="pres">
      <dgm:prSet presAssocID="{73FDC8E2-5F71-4EC7-B10C-ACBBCC6BE3F2}" presName="level" presStyleLbl="node1" presStyleIdx="0" presStyleCnt="4">
        <dgm:presLayoutVars>
          <dgm:chMax val="1"/>
          <dgm:bulletEnabled val="1"/>
        </dgm:presLayoutVars>
      </dgm:prSet>
      <dgm:spPr>
        <a:prstGeom prst="trapezoid">
          <a:avLst>
            <a:gd name="adj" fmla="val 85714"/>
          </a:avLst>
        </a:prstGeom>
      </dgm:spPr>
      <dgm:t>
        <a:bodyPr/>
        <a:lstStyle/>
        <a:p>
          <a:endParaRPr lang="ru-RU"/>
        </a:p>
      </dgm:t>
    </dgm:pt>
    <dgm:pt modelId="{64985FD0-E164-48D0-A85B-D4C467D97134}" type="pres">
      <dgm:prSet presAssocID="{73FDC8E2-5F71-4EC7-B10C-ACBBCC6BE3F2}" presName="levelTx" presStyleLbl="revTx" presStyleIdx="0" presStyleCnt="0">
        <dgm:presLayoutVars>
          <dgm:chMax val="1"/>
          <dgm:bulletEnabled val="1"/>
        </dgm:presLayoutVars>
      </dgm:prSet>
      <dgm:spPr/>
      <dgm:t>
        <a:bodyPr/>
        <a:lstStyle/>
        <a:p>
          <a:endParaRPr lang="ru-RU"/>
        </a:p>
      </dgm:t>
    </dgm:pt>
    <dgm:pt modelId="{2D9CB820-A9FE-449B-8AAC-F28CDB52876C}" type="pres">
      <dgm:prSet presAssocID="{10B62C50-3E4A-41F5-A36C-AB92C56CEACA}" presName="Name8" presStyleCnt="0"/>
      <dgm:spPr/>
    </dgm:pt>
    <dgm:pt modelId="{F9628C15-72D5-4782-B501-4693170AD0D3}" type="pres">
      <dgm:prSet presAssocID="{10B62C50-3E4A-41F5-A36C-AB92C56CEACA}" presName="level" presStyleLbl="node1" presStyleIdx="1" presStyleCnt="4">
        <dgm:presLayoutVars>
          <dgm:chMax val="1"/>
          <dgm:bulletEnabled val="1"/>
        </dgm:presLayoutVars>
      </dgm:prSet>
      <dgm:spPr>
        <a:prstGeom prst="trapezoid">
          <a:avLst>
            <a:gd name="adj" fmla="val 85714"/>
          </a:avLst>
        </a:prstGeom>
      </dgm:spPr>
      <dgm:t>
        <a:bodyPr/>
        <a:lstStyle/>
        <a:p>
          <a:endParaRPr lang="ru-RU"/>
        </a:p>
      </dgm:t>
    </dgm:pt>
    <dgm:pt modelId="{40E57861-7396-4ABF-9DCF-1F968BE22A0A}" type="pres">
      <dgm:prSet presAssocID="{10B62C50-3E4A-41F5-A36C-AB92C56CEACA}" presName="levelTx" presStyleLbl="revTx" presStyleIdx="0" presStyleCnt="0">
        <dgm:presLayoutVars>
          <dgm:chMax val="1"/>
          <dgm:bulletEnabled val="1"/>
        </dgm:presLayoutVars>
      </dgm:prSet>
      <dgm:spPr/>
      <dgm:t>
        <a:bodyPr/>
        <a:lstStyle/>
        <a:p>
          <a:endParaRPr lang="ru-RU"/>
        </a:p>
      </dgm:t>
    </dgm:pt>
    <dgm:pt modelId="{F57B3848-A862-4863-977E-8908193F4EFE}" type="pres">
      <dgm:prSet presAssocID="{9BEDBFBC-F1CD-49FB-822C-0BCEDB2DF279}" presName="Name8" presStyleCnt="0"/>
      <dgm:spPr/>
    </dgm:pt>
    <dgm:pt modelId="{0FD980A9-E162-49D1-94C6-A23D1CA42DA5}" type="pres">
      <dgm:prSet presAssocID="{9BEDBFBC-F1CD-49FB-822C-0BCEDB2DF279}" presName="level" presStyleLbl="node1" presStyleIdx="2" presStyleCnt="4">
        <dgm:presLayoutVars>
          <dgm:chMax val="1"/>
          <dgm:bulletEnabled val="1"/>
        </dgm:presLayoutVars>
      </dgm:prSet>
      <dgm:spPr>
        <a:prstGeom prst="trapezoid">
          <a:avLst>
            <a:gd name="adj" fmla="val 85714"/>
          </a:avLst>
        </a:prstGeom>
      </dgm:spPr>
      <dgm:t>
        <a:bodyPr/>
        <a:lstStyle/>
        <a:p>
          <a:endParaRPr lang="ru-RU"/>
        </a:p>
      </dgm:t>
    </dgm:pt>
    <dgm:pt modelId="{069199E7-CBF9-4D33-8E83-94951D8772C1}" type="pres">
      <dgm:prSet presAssocID="{9BEDBFBC-F1CD-49FB-822C-0BCEDB2DF279}" presName="levelTx" presStyleLbl="revTx" presStyleIdx="0" presStyleCnt="0">
        <dgm:presLayoutVars>
          <dgm:chMax val="1"/>
          <dgm:bulletEnabled val="1"/>
        </dgm:presLayoutVars>
      </dgm:prSet>
      <dgm:spPr/>
      <dgm:t>
        <a:bodyPr/>
        <a:lstStyle/>
        <a:p>
          <a:endParaRPr lang="ru-RU"/>
        </a:p>
      </dgm:t>
    </dgm:pt>
    <dgm:pt modelId="{D23DED6F-B451-4CFD-90E4-9D47AD408FF1}" type="pres">
      <dgm:prSet presAssocID="{01BE9889-26BF-44E6-ADEA-8D078B7F2A4D}" presName="Name8" presStyleCnt="0"/>
      <dgm:spPr/>
    </dgm:pt>
    <dgm:pt modelId="{094D2D28-850C-4D92-BD57-14801C7E6145}" type="pres">
      <dgm:prSet presAssocID="{01BE9889-26BF-44E6-ADEA-8D078B7F2A4D}" presName="level" presStyleLbl="node1" presStyleIdx="3" presStyleCnt="4">
        <dgm:presLayoutVars>
          <dgm:chMax val="1"/>
          <dgm:bulletEnabled val="1"/>
        </dgm:presLayoutVars>
      </dgm:prSet>
      <dgm:spPr>
        <a:prstGeom prst="trapezoid">
          <a:avLst>
            <a:gd name="adj" fmla="val 85714"/>
          </a:avLst>
        </a:prstGeom>
      </dgm:spPr>
      <dgm:t>
        <a:bodyPr/>
        <a:lstStyle/>
        <a:p>
          <a:endParaRPr lang="ru-RU"/>
        </a:p>
      </dgm:t>
    </dgm:pt>
    <dgm:pt modelId="{719F2DB6-BE4F-4B10-B250-57DC296311D2}" type="pres">
      <dgm:prSet presAssocID="{01BE9889-26BF-44E6-ADEA-8D078B7F2A4D}" presName="levelTx" presStyleLbl="revTx" presStyleIdx="0" presStyleCnt="0">
        <dgm:presLayoutVars>
          <dgm:chMax val="1"/>
          <dgm:bulletEnabled val="1"/>
        </dgm:presLayoutVars>
      </dgm:prSet>
      <dgm:spPr/>
      <dgm:t>
        <a:bodyPr/>
        <a:lstStyle/>
        <a:p>
          <a:endParaRPr lang="ru-RU"/>
        </a:p>
      </dgm:t>
    </dgm:pt>
  </dgm:ptLst>
  <dgm:cxnLst>
    <dgm:cxn modelId="{5943AD72-061B-4FF0-BDB8-6CEBF111CC67}" srcId="{6D0D8FF0-68A7-4F97-84D1-5BEC81E4F2FA}" destId="{73FDC8E2-5F71-4EC7-B10C-ACBBCC6BE3F2}" srcOrd="0" destOrd="0" parTransId="{B128F0D2-8740-482B-9582-DE602A91BDB8}" sibTransId="{099BAC46-9B3E-4004-8137-EA1374DE7D05}"/>
    <dgm:cxn modelId="{A22E2BAE-60E2-4999-A6D3-E2BC7CE428B1}" type="presOf" srcId="{10B62C50-3E4A-41F5-A36C-AB92C56CEACA}" destId="{40E57861-7396-4ABF-9DCF-1F968BE22A0A}" srcOrd="1" destOrd="0" presId="urn:microsoft.com/office/officeart/2005/8/layout/pyramid3"/>
    <dgm:cxn modelId="{9FF9E54D-6BD7-4DA4-8479-5BA3D7E03B1F}" type="presOf" srcId="{01BE9889-26BF-44E6-ADEA-8D078B7F2A4D}" destId="{719F2DB6-BE4F-4B10-B250-57DC296311D2}" srcOrd="1" destOrd="0" presId="urn:microsoft.com/office/officeart/2005/8/layout/pyramid3"/>
    <dgm:cxn modelId="{CD664096-35E1-450B-8584-940F4C4CC26E}" type="presOf" srcId="{10B62C50-3E4A-41F5-A36C-AB92C56CEACA}" destId="{F9628C15-72D5-4782-B501-4693170AD0D3}" srcOrd="0" destOrd="0" presId="urn:microsoft.com/office/officeart/2005/8/layout/pyramid3"/>
    <dgm:cxn modelId="{378A62B5-3F70-4BDD-A654-03E6B78AE639}" type="presOf" srcId="{73FDC8E2-5F71-4EC7-B10C-ACBBCC6BE3F2}" destId="{64985FD0-E164-48D0-A85B-D4C467D97134}" srcOrd="1" destOrd="0" presId="urn:microsoft.com/office/officeart/2005/8/layout/pyramid3"/>
    <dgm:cxn modelId="{C69B627D-C4DB-429D-AC17-248FBA642E76}" type="presOf" srcId="{9BEDBFBC-F1CD-49FB-822C-0BCEDB2DF279}" destId="{0FD980A9-E162-49D1-94C6-A23D1CA42DA5}" srcOrd="0" destOrd="0" presId="urn:microsoft.com/office/officeart/2005/8/layout/pyramid3"/>
    <dgm:cxn modelId="{5164C4FF-48BC-494C-A9C2-19CC09CF8244}" srcId="{6D0D8FF0-68A7-4F97-84D1-5BEC81E4F2FA}" destId="{01BE9889-26BF-44E6-ADEA-8D078B7F2A4D}" srcOrd="3" destOrd="0" parTransId="{858EC3A6-3E36-42C8-95CA-BD17A21984B0}" sibTransId="{2AA28BBF-1DC2-47B4-9CD6-7A17DF0E23C8}"/>
    <dgm:cxn modelId="{EB050CD6-E0E7-4637-87C9-60B6D3B3C6C1}" type="presOf" srcId="{01BE9889-26BF-44E6-ADEA-8D078B7F2A4D}" destId="{094D2D28-850C-4D92-BD57-14801C7E6145}" srcOrd="0" destOrd="0" presId="urn:microsoft.com/office/officeart/2005/8/layout/pyramid3"/>
    <dgm:cxn modelId="{772094F1-3591-4F2F-B52E-218A970372CD}" srcId="{6D0D8FF0-68A7-4F97-84D1-5BEC81E4F2FA}" destId="{10B62C50-3E4A-41F5-A36C-AB92C56CEACA}" srcOrd="1" destOrd="0" parTransId="{B7A55B0C-B48E-4E56-8CD4-12403A18F3F1}" sibTransId="{C8147AE5-8869-4236-91C4-C6CFD8AC7752}"/>
    <dgm:cxn modelId="{07AD570A-C83D-4A34-93BD-BAB4A826468B}" type="presOf" srcId="{73FDC8E2-5F71-4EC7-B10C-ACBBCC6BE3F2}" destId="{C333112C-8990-487F-9171-C5A2B026D11E}" srcOrd="0" destOrd="0" presId="urn:microsoft.com/office/officeart/2005/8/layout/pyramid3"/>
    <dgm:cxn modelId="{85334171-5B27-4022-97D5-9E28C86EA708}" type="presOf" srcId="{6D0D8FF0-68A7-4F97-84D1-5BEC81E4F2FA}" destId="{6525C476-8A4B-4819-9190-6816F7653A70}" srcOrd="0" destOrd="0" presId="urn:microsoft.com/office/officeart/2005/8/layout/pyramid3"/>
    <dgm:cxn modelId="{1E5168E0-4FC6-4190-AE66-FDD8CA75DCD3}" srcId="{6D0D8FF0-68A7-4F97-84D1-5BEC81E4F2FA}" destId="{9BEDBFBC-F1CD-49FB-822C-0BCEDB2DF279}" srcOrd="2" destOrd="0" parTransId="{586B29A0-BA14-4780-9A71-58362FB26066}" sibTransId="{6E116CA8-89C9-470A-972A-6A9E53FBE327}"/>
    <dgm:cxn modelId="{0EA106EE-FFAC-42B8-8AD9-804E1B98E862}" type="presOf" srcId="{9BEDBFBC-F1CD-49FB-822C-0BCEDB2DF279}" destId="{069199E7-CBF9-4D33-8E83-94951D8772C1}" srcOrd="1" destOrd="0" presId="urn:microsoft.com/office/officeart/2005/8/layout/pyramid3"/>
    <dgm:cxn modelId="{8F57719A-5647-431C-81F0-98D0EBD67329}" type="presParOf" srcId="{6525C476-8A4B-4819-9190-6816F7653A70}" destId="{D414B010-39C3-41FE-B1AB-7673E9AF272A}" srcOrd="0" destOrd="0" presId="urn:microsoft.com/office/officeart/2005/8/layout/pyramid3"/>
    <dgm:cxn modelId="{BCB16DF5-BB55-4EA0-9098-EF0ABC0D2164}" type="presParOf" srcId="{D414B010-39C3-41FE-B1AB-7673E9AF272A}" destId="{C333112C-8990-487F-9171-C5A2B026D11E}" srcOrd="0" destOrd="0" presId="urn:microsoft.com/office/officeart/2005/8/layout/pyramid3"/>
    <dgm:cxn modelId="{2BC58305-E19B-43BB-92A9-D3DEE4B18179}" type="presParOf" srcId="{D414B010-39C3-41FE-B1AB-7673E9AF272A}" destId="{64985FD0-E164-48D0-A85B-D4C467D97134}" srcOrd="1" destOrd="0" presId="urn:microsoft.com/office/officeart/2005/8/layout/pyramid3"/>
    <dgm:cxn modelId="{F7F5F993-34DF-4FD9-9703-43219DFD9889}" type="presParOf" srcId="{6525C476-8A4B-4819-9190-6816F7653A70}" destId="{2D9CB820-A9FE-449B-8AAC-F28CDB52876C}" srcOrd="1" destOrd="0" presId="urn:microsoft.com/office/officeart/2005/8/layout/pyramid3"/>
    <dgm:cxn modelId="{824F413E-7F1C-40FD-A3F4-9EFF2888833E}" type="presParOf" srcId="{2D9CB820-A9FE-449B-8AAC-F28CDB52876C}" destId="{F9628C15-72D5-4782-B501-4693170AD0D3}" srcOrd="0" destOrd="0" presId="urn:microsoft.com/office/officeart/2005/8/layout/pyramid3"/>
    <dgm:cxn modelId="{7A6FC922-46BA-48BC-AD1C-8E67683B3590}" type="presParOf" srcId="{2D9CB820-A9FE-449B-8AAC-F28CDB52876C}" destId="{40E57861-7396-4ABF-9DCF-1F968BE22A0A}" srcOrd="1" destOrd="0" presId="urn:microsoft.com/office/officeart/2005/8/layout/pyramid3"/>
    <dgm:cxn modelId="{16D5B983-264C-4243-B112-A5D911536C43}" type="presParOf" srcId="{6525C476-8A4B-4819-9190-6816F7653A70}" destId="{F57B3848-A862-4863-977E-8908193F4EFE}" srcOrd="2" destOrd="0" presId="urn:microsoft.com/office/officeart/2005/8/layout/pyramid3"/>
    <dgm:cxn modelId="{833F7B8B-2FF1-4FA2-83EE-1254B445190A}" type="presParOf" srcId="{F57B3848-A862-4863-977E-8908193F4EFE}" destId="{0FD980A9-E162-49D1-94C6-A23D1CA42DA5}" srcOrd="0" destOrd="0" presId="urn:microsoft.com/office/officeart/2005/8/layout/pyramid3"/>
    <dgm:cxn modelId="{9CAA5E25-6AC8-4CCE-B00F-6DED383DBAC1}" type="presParOf" srcId="{F57B3848-A862-4863-977E-8908193F4EFE}" destId="{069199E7-CBF9-4D33-8E83-94951D8772C1}" srcOrd="1" destOrd="0" presId="urn:microsoft.com/office/officeart/2005/8/layout/pyramid3"/>
    <dgm:cxn modelId="{6383F822-6742-44E9-AD57-DC642083A2CA}" type="presParOf" srcId="{6525C476-8A4B-4819-9190-6816F7653A70}" destId="{D23DED6F-B451-4CFD-90E4-9D47AD408FF1}" srcOrd="3" destOrd="0" presId="urn:microsoft.com/office/officeart/2005/8/layout/pyramid3"/>
    <dgm:cxn modelId="{9B269F11-7EFB-449A-BCB7-CFDB61778498}" type="presParOf" srcId="{D23DED6F-B451-4CFD-90E4-9D47AD408FF1}" destId="{094D2D28-850C-4D92-BD57-14801C7E6145}" srcOrd="0" destOrd="0" presId="urn:microsoft.com/office/officeart/2005/8/layout/pyramid3"/>
    <dgm:cxn modelId="{6A82E4F2-CA2C-4919-B5A1-B8AAB55F7FB0}" type="presParOf" srcId="{D23DED6F-B451-4CFD-90E4-9D47AD408FF1}" destId="{719F2DB6-BE4F-4B10-B250-57DC296311D2}" srcOrd="1" destOrd="0" presId="urn:microsoft.com/office/officeart/2005/8/layout/pyramid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2CAA38-4B8E-46F1-B79C-FE78E3A5FAA7}">
      <dsp:nvSpPr>
        <dsp:cNvPr id="0" name=""/>
        <dsp:cNvSpPr/>
      </dsp:nvSpPr>
      <dsp:spPr>
        <a:xfrm>
          <a:off x="2253613" y="1152286"/>
          <a:ext cx="1464606" cy="12669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kern="1200">
              <a:solidFill>
                <a:sysClr val="window" lastClr="FFFFFF"/>
              </a:solidFill>
              <a:latin typeface="Calibri"/>
              <a:ea typeface="+mn-ea"/>
              <a:cs typeface="+mn-cs"/>
            </a:rPr>
            <a:t>Организационно-экономичнское развитие производительных сил региона</a:t>
          </a:r>
        </a:p>
      </dsp:txBody>
      <dsp:txXfrm>
        <a:off x="2496319" y="1362236"/>
        <a:ext cx="979194" cy="847044"/>
      </dsp:txXfrm>
    </dsp:sp>
    <dsp:sp modelId="{720EE792-26AE-4087-85AB-6B0572E7A274}">
      <dsp:nvSpPr>
        <dsp:cNvPr id="0" name=""/>
        <dsp:cNvSpPr/>
      </dsp:nvSpPr>
      <dsp:spPr>
        <a:xfrm>
          <a:off x="3170739" y="546139"/>
          <a:ext cx="552591" cy="476130"/>
        </a:xfrm>
        <a:prstGeom prst="hexagon">
          <a:avLst>
            <a:gd name="adj" fmla="val 28900"/>
            <a:gd name="vf" fmla="val 11547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A283A761-8023-436C-93EA-6B13345D73AE}">
      <dsp:nvSpPr>
        <dsp:cNvPr id="0" name=""/>
        <dsp:cNvSpPr/>
      </dsp:nvSpPr>
      <dsp:spPr>
        <a:xfrm>
          <a:off x="2388525" y="0"/>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Ресурсная база (инфраструктурное развитие)</a:t>
          </a:r>
        </a:p>
      </dsp:txBody>
      <dsp:txXfrm>
        <a:off x="2587429" y="172076"/>
        <a:ext cx="802426" cy="694192"/>
      </dsp:txXfrm>
    </dsp:sp>
    <dsp:sp modelId="{DB102142-F4E0-4439-8280-553A4BB1C294}">
      <dsp:nvSpPr>
        <dsp:cNvPr id="0" name=""/>
        <dsp:cNvSpPr/>
      </dsp:nvSpPr>
      <dsp:spPr>
        <a:xfrm>
          <a:off x="3815656" y="1436250"/>
          <a:ext cx="552591" cy="476130"/>
        </a:xfrm>
        <a:prstGeom prst="hexagon">
          <a:avLst>
            <a:gd name="adj" fmla="val 28900"/>
            <a:gd name="vf" fmla="val 11547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2EB84DC6-53BE-43E0-ADFF-E0E22CD70C10}">
      <dsp:nvSpPr>
        <dsp:cNvPr id="0" name=""/>
        <dsp:cNvSpPr/>
      </dsp:nvSpPr>
      <dsp:spPr>
        <a:xfrm>
          <a:off x="3489279" y="638651"/>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kern="1200">
              <a:solidFill>
                <a:sysClr val="window" lastClr="FFFFFF"/>
              </a:solidFill>
              <a:latin typeface="Calibri"/>
              <a:ea typeface="+mn-ea"/>
              <a:cs typeface="+mn-cs"/>
            </a:rPr>
            <a:t>Инвестиционная привлекательность региона</a:t>
          </a:r>
        </a:p>
      </dsp:txBody>
      <dsp:txXfrm>
        <a:off x="3688183" y="810727"/>
        <a:ext cx="802426" cy="694192"/>
      </dsp:txXfrm>
    </dsp:sp>
    <dsp:sp modelId="{EECC4D9D-61DC-439D-AA96-5D01E235DF22}">
      <dsp:nvSpPr>
        <dsp:cNvPr id="0" name=""/>
        <dsp:cNvSpPr/>
      </dsp:nvSpPr>
      <dsp:spPr>
        <a:xfrm>
          <a:off x="3367655" y="2441019"/>
          <a:ext cx="552591" cy="476130"/>
        </a:xfrm>
        <a:prstGeom prst="hexagon">
          <a:avLst>
            <a:gd name="adj" fmla="val 28900"/>
            <a:gd name="vf" fmla="val 11547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9F950CF1-2057-4999-B51F-F9F988028375}">
      <dsp:nvSpPr>
        <dsp:cNvPr id="0" name=""/>
        <dsp:cNvSpPr/>
      </dsp:nvSpPr>
      <dsp:spPr>
        <a:xfrm>
          <a:off x="3489279" y="1894165"/>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Calibri"/>
              <a:ea typeface="+mn-ea"/>
              <a:cs typeface="+mn-cs"/>
            </a:rPr>
            <a:t>Механизмы инновационного воспроизводства</a:t>
          </a:r>
        </a:p>
      </dsp:txBody>
      <dsp:txXfrm>
        <a:off x="3688183" y="2066241"/>
        <a:ext cx="802426" cy="694192"/>
      </dsp:txXfrm>
    </dsp:sp>
    <dsp:sp modelId="{F89117B6-4A28-4115-98AA-CC9E81A4A751}">
      <dsp:nvSpPr>
        <dsp:cNvPr id="0" name=""/>
        <dsp:cNvSpPr/>
      </dsp:nvSpPr>
      <dsp:spPr>
        <a:xfrm>
          <a:off x="2256339" y="2545318"/>
          <a:ext cx="552591" cy="476130"/>
        </a:xfrm>
        <a:prstGeom prst="hexagon">
          <a:avLst>
            <a:gd name="adj" fmla="val 28900"/>
            <a:gd name="vf" fmla="val 11547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2BF36B6-AB9E-48DB-86F1-9AC9151C9E71}">
      <dsp:nvSpPr>
        <dsp:cNvPr id="0" name=""/>
        <dsp:cNvSpPr/>
      </dsp:nvSpPr>
      <dsp:spPr>
        <a:xfrm>
          <a:off x="2388525" y="2533530"/>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Институциональные факторы</a:t>
          </a:r>
        </a:p>
      </dsp:txBody>
      <dsp:txXfrm>
        <a:off x="2587429" y="2705606"/>
        <a:ext cx="802426" cy="694192"/>
      </dsp:txXfrm>
    </dsp:sp>
    <dsp:sp modelId="{8309258B-48D4-47E3-8C3F-EF1D159EDD9A}">
      <dsp:nvSpPr>
        <dsp:cNvPr id="0" name=""/>
        <dsp:cNvSpPr/>
      </dsp:nvSpPr>
      <dsp:spPr>
        <a:xfrm>
          <a:off x="1600860" y="1655564"/>
          <a:ext cx="552591" cy="476130"/>
        </a:xfrm>
        <a:prstGeom prst="hexagon">
          <a:avLst>
            <a:gd name="adj" fmla="val 28900"/>
            <a:gd name="vf" fmla="val 11547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A3412DB5-DD98-45DC-BC73-C7D125770751}">
      <dsp:nvSpPr>
        <dsp:cNvPr id="0" name=""/>
        <dsp:cNvSpPr/>
      </dsp:nvSpPr>
      <dsp:spPr>
        <a:xfrm>
          <a:off x="1282660" y="1894879"/>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Социально-экологические особенности развития региона</a:t>
          </a:r>
        </a:p>
      </dsp:txBody>
      <dsp:txXfrm>
        <a:off x="1481564" y="2066955"/>
        <a:ext cx="802426" cy="694192"/>
      </dsp:txXfrm>
    </dsp:sp>
    <dsp:sp modelId="{2261AD43-D79E-4D8A-AF1D-F54BFB79F14B}">
      <dsp:nvSpPr>
        <dsp:cNvPr id="0" name=""/>
        <dsp:cNvSpPr/>
      </dsp:nvSpPr>
      <dsp:spPr>
        <a:xfrm>
          <a:off x="1282660" y="637222"/>
          <a:ext cx="1200234" cy="1038344"/>
        </a:xfrm>
        <a:prstGeom prst="hexagon">
          <a:avLst>
            <a:gd name="adj" fmla="val 28570"/>
            <a:gd name="vf" fmla="val 1154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«Демографический каркас» промышленно-индустриального развития региона</a:t>
          </a:r>
        </a:p>
      </dsp:txBody>
      <dsp:txXfrm>
        <a:off x="1481564" y="809298"/>
        <a:ext cx="802426" cy="6941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33112C-8990-487F-9171-C5A2B026D11E}">
      <dsp:nvSpPr>
        <dsp:cNvPr id="0" name=""/>
        <dsp:cNvSpPr/>
      </dsp:nvSpPr>
      <dsp:spPr>
        <a:xfrm rot="10800000">
          <a:off x="0" y="0"/>
          <a:ext cx="5490210" cy="801052"/>
        </a:xfrm>
        <a:prstGeom prst="trapezoid">
          <a:avLst>
            <a:gd name="adj" fmla="val 85714"/>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ru-RU" sz="1800" kern="1200">
              <a:solidFill>
                <a:sysClr val="windowText" lastClr="000000">
                  <a:hueOff val="0"/>
                  <a:satOff val="0"/>
                  <a:lumOff val="0"/>
                  <a:alphaOff val="0"/>
                </a:sysClr>
              </a:solidFill>
              <a:latin typeface="Calibri"/>
              <a:ea typeface="+mn-ea"/>
              <a:cs typeface="+mn-cs"/>
            </a:rPr>
            <a:t>Самарская область</a:t>
          </a:r>
          <a:endParaRPr lang="ru-RU" sz="6400" kern="1200">
            <a:solidFill>
              <a:sysClr val="windowText" lastClr="000000">
                <a:hueOff val="0"/>
                <a:satOff val="0"/>
                <a:lumOff val="0"/>
                <a:alphaOff val="0"/>
              </a:sysClr>
            </a:solidFill>
            <a:latin typeface="Calibri"/>
            <a:ea typeface="+mn-ea"/>
            <a:cs typeface="+mn-cs"/>
          </a:endParaRPr>
        </a:p>
      </dsp:txBody>
      <dsp:txXfrm rot="-10800000">
        <a:off x="960786" y="0"/>
        <a:ext cx="3568636" cy="801052"/>
      </dsp:txXfrm>
    </dsp:sp>
    <dsp:sp modelId="{F9628C15-72D5-4782-B501-4693170AD0D3}">
      <dsp:nvSpPr>
        <dsp:cNvPr id="0" name=""/>
        <dsp:cNvSpPr/>
      </dsp:nvSpPr>
      <dsp:spPr>
        <a:xfrm rot="10800000">
          <a:off x="686276" y="801052"/>
          <a:ext cx="4117657" cy="801052"/>
        </a:xfrm>
        <a:prstGeom prst="trapezoid">
          <a:avLst>
            <a:gd name="adj" fmla="val 85714"/>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ru-RU" sz="1800" b="0" kern="1200">
              <a:solidFill>
                <a:sysClr val="windowText" lastClr="000000">
                  <a:hueOff val="0"/>
                  <a:satOff val="0"/>
                  <a:lumOff val="0"/>
                  <a:alphaOff val="0"/>
                </a:sysClr>
              </a:solidFill>
              <a:latin typeface="Calibri"/>
              <a:ea typeface="+mn-ea"/>
              <a:cs typeface="+mn-cs"/>
            </a:rPr>
            <a:t>Республика Татарстан</a:t>
          </a:r>
        </a:p>
      </dsp:txBody>
      <dsp:txXfrm rot="-10800000">
        <a:off x="1406866" y="801052"/>
        <a:ext cx="2676477" cy="801052"/>
      </dsp:txXfrm>
    </dsp:sp>
    <dsp:sp modelId="{0FD980A9-E162-49D1-94C6-A23D1CA42DA5}">
      <dsp:nvSpPr>
        <dsp:cNvPr id="0" name=""/>
        <dsp:cNvSpPr/>
      </dsp:nvSpPr>
      <dsp:spPr>
        <a:xfrm rot="10800000">
          <a:off x="1372552" y="1602104"/>
          <a:ext cx="2745105" cy="801052"/>
        </a:xfrm>
        <a:prstGeom prst="trapezoid">
          <a:avLst>
            <a:gd name="adj" fmla="val 85714"/>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Calibri"/>
              <a:ea typeface="+mn-ea"/>
              <a:cs typeface="+mn-cs"/>
            </a:rPr>
            <a:t>Нижегородская область</a:t>
          </a:r>
        </a:p>
      </dsp:txBody>
      <dsp:txXfrm rot="-10800000">
        <a:off x="1852945" y="1602104"/>
        <a:ext cx="1784318" cy="801052"/>
      </dsp:txXfrm>
    </dsp:sp>
    <dsp:sp modelId="{094D2D28-850C-4D92-BD57-14801C7E6145}">
      <dsp:nvSpPr>
        <dsp:cNvPr id="0" name=""/>
        <dsp:cNvSpPr/>
      </dsp:nvSpPr>
      <dsp:spPr>
        <a:xfrm rot="10800000">
          <a:off x="2058828" y="2403157"/>
          <a:ext cx="1372552" cy="801052"/>
        </a:xfrm>
        <a:prstGeom prst="trapezoid">
          <a:avLst>
            <a:gd name="adj" fmla="val 85714"/>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solidFill>
                <a:sysClr val="windowText" lastClr="000000">
                  <a:hueOff val="0"/>
                  <a:satOff val="0"/>
                  <a:lumOff val="0"/>
                  <a:alphaOff val="0"/>
                </a:sysClr>
              </a:solidFill>
              <a:latin typeface="Calibri"/>
              <a:ea typeface="+mn-ea"/>
              <a:cs typeface="+mn-cs"/>
            </a:rPr>
            <a:t>Республика Башкортостан</a:t>
          </a:r>
        </a:p>
      </dsp:txBody>
      <dsp:txXfrm rot="-10800000">
        <a:off x="2058828" y="2403157"/>
        <a:ext cx="1372552" cy="801052"/>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Радиальный шестиугольник"/>
  <dgm:desc val="Служит для отображения последовательного процесса, связанного с центральной идеей или темой. Ограничен шестью фигурами уровня 2. Рекомендуется использовать небольшие объемы текста. Неиспользуемый текст не отображается, но доступен при переключении макетов."/>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0E58CB-3BAA-46C2-BE25-E7B24070F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211</Pages>
  <Words>43822</Words>
  <Characters>249786</Characters>
  <Application>Microsoft Office Word</Application>
  <DocSecurity>0</DocSecurity>
  <Lines>2081</Lines>
  <Paragraphs>586</Paragraphs>
  <ScaleCrop>false</ScaleCrop>
  <HeadingPairs>
    <vt:vector size="2" baseType="variant">
      <vt:variant>
        <vt:lpstr>Название</vt:lpstr>
      </vt:variant>
      <vt:variant>
        <vt:i4>1</vt:i4>
      </vt:variant>
    </vt:vector>
  </HeadingPairs>
  <TitlesOfParts>
    <vt:vector size="1" baseType="lpstr">
      <vt:lpstr/>
    </vt:vector>
  </TitlesOfParts>
  <Company>CPEI</Company>
  <LinksUpToDate>false</LinksUpToDate>
  <CharactersWithSpaces>293022</CharactersWithSpaces>
  <SharedDoc>false</SharedDoc>
  <HLinks>
    <vt:vector size="180" baseType="variant">
      <vt:variant>
        <vt:i4>458759</vt:i4>
      </vt:variant>
      <vt:variant>
        <vt:i4>369</vt:i4>
      </vt:variant>
      <vt:variant>
        <vt:i4>0</vt:i4>
      </vt:variant>
      <vt:variant>
        <vt:i4>5</vt:i4>
      </vt:variant>
      <vt:variant>
        <vt:lpwstr>http://www.ecfor.ru/</vt:lpwstr>
      </vt:variant>
      <vt:variant>
        <vt:lpwstr/>
      </vt:variant>
      <vt:variant>
        <vt:i4>458771</vt:i4>
      </vt:variant>
      <vt:variant>
        <vt:i4>366</vt:i4>
      </vt:variant>
      <vt:variant>
        <vt:i4>0</vt:i4>
      </vt:variant>
      <vt:variant>
        <vt:i4>5</vt:i4>
      </vt:variant>
      <vt:variant>
        <vt:lpwstr>http://vestnik-samgu.samsu.ru/gum/2006web8/econ/Dubrovina.pdf</vt:lpwstr>
      </vt:variant>
      <vt:variant>
        <vt:lpwstr/>
      </vt:variant>
      <vt:variant>
        <vt:i4>2359331</vt:i4>
      </vt:variant>
      <vt:variant>
        <vt:i4>363</vt:i4>
      </vt:variant>
      <vt:variant>
        <vt:i4>0</vt:i4>
      </vt:variant>
      <vt:variant>
        <vt:i4>5</vt:i4>
      </vt:variant>
      <vt:variant>
        <vt:lpwstr>http://imepieurasia.ru/baner/vard1.doc/</vt:lpwstr>
      </vt:variant>
      <vt:variant>
        <vt:lpwstr/>
      </vt:variant>
      <vt:variant>
        <vt:i4>4718595</vt:i4>
      </vt:variant>
      <vt:variant>
        <vt:i4>360</vt:i4>
      </vt:variant>
      <vt:variant>
        <vt:i4>0</vt:i4>
      </vt:variant>
      <vt:variant>
        <vt:i4>5</vt:i4>
      </vt:variant>
      <vt:variant>
        <vt:lpwstr>http://www.worldbank.org/</vt:lpwstr>
      </vt:variant>
      <vt:variant>
        <vt:lpwstr/>
      </vt:variant>
      <vt:variant>
        <vt:i4>7012387</vt:i4>
      </vt:variant>
      <vt:variant>
        <vt:i4>357</vt:i4>
      </vt:variant>
      <vt:variant>
        <vt:i4>0</vt:i4>
      </vt:variant>
      <vt:variant>
        <vt:i4>5</vt:i4>
      </vt:variant>
      <vt:variant>
        <vt:lpwstr>http://www.gks.ru/wps/wcm/connect/rosstat_main/rosstat/ru/statistics/publications/catalog/doc_1138623506156</vt:lpwstr>
      </vt:variant>
      <vt:variant>
        <vt:lpwstr/>
      </vt:variant>
      <vt:variant>
        <vt:i4>6422616</vt:i4>
      </vt:variant>
      <vt:variant>
        <vt:i4>354</vt:i4>
      </vt:variant>
      <vt:variant>
        <vt:i4>0</vt:i4>
      </vt:variant>
      <vt:variant>
        <vt:i4>5</vt:i4>
      </vt:variant>
      <vt:variant>
        <vt:lpwstr>http://abc.informbureau.com/html/duiixiass_eiodanodoeooda.html</vt:lpwstr>
      </vt:variant>
      <vt:variant>
        <vt:lpwstr/>
      </vt:variant>
      <vt:variant>
        <vt:i4>7602292</vt:i4>
      </vt:variant>
      <vt:variant>
        <vt:i4>351</vt:i4>
      </vt:variant>
      <vt:variant>
        <vt:i4>0</vt:i4>
      </vt:variant>
      <vt:variant>
        <vt:i4>5</vt:i4>
      </vt:variant>
      <vt:variant>
        <vt:lpwstr>http://uecs.ru/uecs-37-372012/item/1004-2012-02-01-05-52-52</vt:lpwstr>
      </vt:variant>
      <vt:variant>
        <vt:lpwstr/>
      </vt:variant>
      <vt:variant>
        <vt:i4>6094873</vt:i4>
      </vt:variant>
      <vt:variant>
        <vt:i4>348</vt:i4>
      </vt:variant>
      <vt:variant>
        <vt:i4>0</vt:i4>
      </vt:variant>
      <vt:variant>
        <vt:i4>5</vt:i4>
      </vt:variant>
      <vt:variant>
        <vt:lpwstr>http://sops.ru/upload/SOPS_magazine_02.pdf</vt:lpwstr>
      </vt:variant>
      <vt:variant>
        <vt:lpwstr/>
      </vt:variant>
      <vt:variant>
        <vt:i4>1704012</vt:i4>
      </vt:variant>
      <vt:variant>
        <vt:i4>144</vt:i4>
      </vt:variant>
      <vt:variant>
        <vt:i4>0</vt:i4>
      </vt:variant>
      <vt:variant>
        <vt:i4>5</vt:i4>
      </vt:variant>
      <vt:variant>
        <vt:lpwstr>http://www.intuit.ru/studies/courses/6/6/lecture/182?page=4</vt:lpwstr>
      </vt:variant>
      <vt:variant>
        <vt:lpwstr>table.13.2</vt:lpwstr>
      </vt:variant>
      <vt:variant>
        <vt:i4>8323170</vt:i4>
      </vt:variant>
      <vt:variant>
        <vt:i4>120</vt:i4>
      </vt:variant>
      <vt:variant>
        <vt:i4>0</vt:i4>
      </vt:variant>
      <vt:variant>
        <vt:i4>5</vt:i4>
      </vt:variant>
      <vt:variant>
        <vt:lpwstr>http://ru.wikipedia.org/wiki/%D0%9A%D0%B0%D0%BF%D0%B8%D1%82%D0%B0%D0%BB</vt:lpwstr>
      </vt:variant>
      <vt:variant>
        <vt:lpwstr/>
      </vt:variant>
      <vt:variant>
        <vt:i4>8323098</vt:i4>
      </vt:variant>
      <vt:variant>
        <vt:i4>117</vt:i4>
      </vt:variant>
      <vt:variant>
        <vt:i4>0</vt:i4>
      </vt:variant>
      <vt:variant>
        <vt:i4>5</vt:i4>
      </vt:variant>
      <vt:variant>
        <vt:lpwstr>http://ru.wikipedia.org/wiki/%D0%9C%D0%B0%D1%80%D1%88%D0%B0%D0%BB%D0%BB,_%D0%90%D0%BB%D1%8C%D1%84%D1%80%D0%B5%D0%B4</vt:lpwstr>
      </vt:variant>
      <vt:variant>
        <vt:lpwstr/>
      </vt:variant>
      <vt:variant>
        <vt:i4>1769530</vt:i4>
      </vt:variant>
      <vt:variant>
        <vt:i4>110</vt:i4>
      </vt:variant>
      <vt:variant>
        <vt:i4>0</vt:i4>
      </vt:variant>
      <vt:variant>
        <vt:i4>5</vt:i4>
      </vt:variant>
      <vt:variant>
        <vt:lpwstr/>
      </vt:variant>
      <vt:variant>
        <vt:lpwstr>_Toc451865941</vt:lpwstr>
      </vt:variant>
      <vt:variant>
        <vt:i4>1769530</vt:i4>
      </vt:variant>
      <vt:variant>
        <vt:i4>104</vt:i4>
      </vt:variant>
      <vt:variant>
        <vt:i4>0</vt:i4>
      </vt:variant>
      <vt:variant>
        <vt:i4>5</vt:i4>
      </vt:variant>
      <vt:variant>
        <vt:lpwstr/>
      </vt:variant>
      <vt:variant>
        <vt:lpwstr>_Toc451865940</vt:lpwstr>
      </vt:variant>
      <vt:variant>
        <vt:i4>1835066</vt:i4>
      </vt:variant>
      <vt:variant>
        <vt:i4>98</vt:i4>
      </vt:variant>
      <vt:variant>
        <vt:i4>0</vt:i4>
      </vt:variant>
      <vt:variant>
        <vt:i4>5</vt:i4>
      </vt:variant>
      <vt:variant>
        <vt:lpwstr/>
      </vt:variant>
      <vt:variant>
        <vt:lpwstr>_Toc451865939</vt:lpwstr>
      </vt:variant>
      <vt:variant>
        <vt:i4>1835066</vt:i4>
      </vt:variant>
      <vt:variant>
        <vt:i4>92</vt:i4>
      </vt:variant>
      <vt:variant>
        <vt:i4>0</vt:i4>
      </vt:variant>
      <vt:variant>
        <vt:i4>5</vt:i4>
      </vt:variant>
      <vt:variant>
        <vt:lpwstr/>
      </vt:variant>
      <vt:variant>
        <vt:lpwstr>_Toc451865938</vt:lpwstr>
      </vt:variant>
      <vt:variant>
        <vt:i4>1835066</vt:i4>
      </vt:variant>
      <vt:variant>
        <vt:i4>86</vt:i4>
      </vt:variant>
      <vt:variant>
        <vt:i4>0</vt:i4>
      </vt:variant>
      <vt:variant>
        <vt:i4>5</vt:i4>
      </vt:variant>
      <vt:variant>
        <vt:lpwstr/>
      </vt:variant>
      <vt:variant>
        <vt:lpwstr>_Toc451865937</vt:lpwstr>
      </vt:variant>
      <vt:variant>
        <vt:i4>1835066</vt:i4>
      </vt:variant>
      <vt:variant>
        <vt:i4>80</vt:i4>
      </vt:variant>
      <vt:variant>
        <vt:i4>0</vt:i4>
      </vt:variant>
      <vt:variant>
        <vt:i4>5</vt:i4>
      </vt:variant>
      <vt:variant>
        <vt:lpwstr/>
      </vt:variant>
      <vt:variant>
        <vt:lpwstr>_Toc451865936</vt:lpwstr>
      </vt:variant>
      <vt:variant>
        <vt:i4>1835066</vt:i4>
      </vt:variant>
      <vt:variant>
        <vt:i4>74</vt:i4>
      </vt:variant>
      <vt:variant>
        <vt:i4>0</vt:i4>
      </vt:variant>
      <vt:variant>
        <vt:i4>5</vt:i4>
      </vt:variant>
      <vt:variant>
        <vt:lpwstr/>
      </vt:variant>
      <vt:variant>
        <vt:lpwstr>_Toc451865935</vt:lpwstr>
      </vt:variant>
      <vt:variant>
        <vt:i4>1835066</vt:i4>
      </vt:variant>
      <vt:variant>
        <vt:i4>68</vt:i4>
      </vt:variant>
      <vt:variant>
        <vt:i4>0</vt:i4>
      </vt:variant>
      <vt:variant>
        <vt:i4>5</vt:i4>
      </vt:variant>
      <vt:variant>
        <vt:lpwstr/>
      </vt:variant>
      <vt:variant>
        <vt:lpwstr>_Toc451865934</vt:lpwstr>
      </vt:variant>
      <vt:variant>
        <vt:i4>1835066</vt:i4>
      </vt:variant>
      <vt:variant>
        <vt:i4>62</vt:i4>
      </vt:variant>
      <vt:variant>
        <vt:i4>0</vt:i4>
      </vt:variant>
      <vt:variant>
        <vt:i4>5</vt:i4>
      </vt:variant>
      <vt:variant>
        <vt:lpwstr/>
      </vt:variant>
      <vt:variant>
        <vt:lpwstr>_Toc451865933</vt:lpwstr>
      </vt:variant>
      <vt:variant>
        <vt:i4>1835066</vt:i4>
      </vt:variant>
      <vt:variant>
        <vt:i4>56</vt:i4>
      </vt:variant>
      <vt:variant>
        <vt:i4>0</vt:i4>
      </vt:variant>
      <vt:variant>
        <vt:i4>5</vt:i4>
      </vt:variant>
      <vt:variant>
        <vt:lpwstr/>
      </vt:variant>
      <vt:variant>
        <vt:lpwstr>_Toc451865932</vt:lpwstr>
      </vt:variant>
      <vt:variant>
        <vt:i4>1835066</vt:i4>
      </vt:variant>
      <vt:variant>
        <vt:i4>50</vt:i4>
      </vt:variant>
      <vt:variant>
        <vt:i4>0</vt:i4>
      </vt:variant>
      <vt:variant>
        <vt:i4>5</vt:i4>
      </vt:variant>
      <vt:variant>
        <vt:lpwstr/>
      </vt:variant>
      <vt:variant>
        <vt:lpwstr>_Toc451865931</vt:lpwstr>
      </vt:variant>
      <vt:variant>
        <vt:i4>1835066</vt:i4>
      </vt:variant>
      <vt:variant>
        <vt:i4>44</vt:i4>
      </vt:variant>
      <vt:variant>
        <vt:i4>0</vt:i4>
      </vt:variant>
      <vt:variant>
        <vt:i4>5</vt:i4>
      </vt:variant>
      <vt:variant>
        <vt:lpwstr/>
      </vt:variant>
      <vt:variant>
        <vt:lpwstr>_Toc451865930</vt:lpwstr>
      </vt:variant>
      <vt:variant>
        <vt:i4>1900602</vt:i4>
      </vt:variant>
      <vt:variant>
        <vt:i4>38</vt:i4>
      </vt:variant>
      <vt:variant>
        <vt:i4>0</vt:i4>
      </vt:variant>
      <vt:variant>
        <vt:i4>5</vt:i4>
      </vt:variant>
      <vt:variant>
        <vt:lpwstr/>
      </vt:variant>
      <vt:variant>
        <vt:lpwstr>_Toc451865929</vt:lpwstr>
      </vt:variant>
      <vt:variant>
        <vt:i4>1900602</vt:i4>
      </vt:variant>
      <vt:variant>
        <vt:i4>32</vt:i4>
      </vt:variant>
      <vt:variant>
        <vt:i4>0</vt:i4>
      </vt:variant>
      <vt:variant>
        <vt:i4>5</vt:i4>
      </vt:variant>
      <vt:variant>
        <vt:lpwstr/>
      </vt:variant>
      <vt:variant>
        <vt:lpwstr>_Toc451865928</vt:lpwstr>
      </vt:variant>
      <vt:variant>
        <vt:i4>1900602</vt:i4>
      </vt:variant>
      <vt:variant>
        <vt:i4>26</vt:i4>
      </vt:variant>
      <vt:variant>
        <vt:i4>0</vt:i4>
      </vt:variant>
      <vt:variant>
        <vt:i4>5</vt:i4>
      </vt:variant>
      <vt:variant>
        <vt:lpwstr/>
      </vt:variant>
      <vt:variant>
        <vt:lpwstr>_Toc451865927</vt:lpwstr>
      </vt:variant>
      <vt:variant>
        <vt:i4>1900602</vt:i4>
      </vt:variant>
      <vt:variant>
        <vt:i4>20</vt:i4>
      </vt:variant>
      <vt:variant>
        <vt:i4>0</vt:i4>
      </vt:variant>
      <vt:variant>
        <vt:i4>5</vt:i4>
      </vt:variant>
      <vt:variant>
        <vt:lpwstr/>
      </vt:variant>
      <vt:variant>
        <vt:lpwstr>_Toc451865926</vt:lpwstr>
      </vt:variant>
      <vt:variant>
        <vt:i4>1900602</vt:i4>
      </vt:variant>
      <vt:variant>
        <vt:i4>14</vt:i4>
      </vt:variant>
      <vt:variant>
        <vt:i4>0</vt:i4>
      </vt:variant>
      <vt:variant>
        <vt:i4>5</vt:i4>
      </vt:variant>
      <vt:variant>
        <vt:lpwstr/>
      </vt:variant>
      <vt:variant>
        <vt:lpwstr>_Toc451865925</vt:lpwstr>
      </vt:variant>
      <vt:variant>
        <vt:i4>1900602</vt:i4>
      </vt:variant>
      <vt:variant>
        <vt:i4>8</vt:i4>
      </vt:variant>
      <vt:variant>
        <vt:i4>0</vt:i4>
      </vt:variant>
      <vt:variant>
        <vt:i4>5</vt:i4>
      </vt:variant>
      <vt:variant>
        <vt:lpwstr/>
      </vt:variant>
      <vt:variant>
        <vt:lpwstr>_Toc451865924</vt:lpwstr>
      </vt:variant>
      <vt:variant>
        <vt:i4>1900602</vt:i4>
      </vt:variant>
      <vt:variant>
        <vt:i4>2</vt:i4>
      </vt:variant>
      <vt:variant>
        <vt:i4>0</vt:i4>
      </vt:variant>
      <vt:variant>
        <vt:i4>5</vt:i4>
      </vt:variant>
      <vt:variant>
        <vt:lpwstr/>
      </vt:variant>
      <vt:variant>
        <vt:lpwstr>_Toc451865923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Leonid</dc:creator>
  <cp:keywords/>
  <dc:description/>
  <cp:lastModifiedBy>User</cp:lastModifiedBy>
  <cp:revision>2</cp:revision>
  <cp:lastPrinted>2016-05-24T12:39:00Z</cp:lastPrinted>
  <dcterms:created xsi:type="dcterms:W3CDTF">2016-11-07T14:21:00Z</dcterms:created>
  <dcterms:modified xsi:type="dcterms:W3CDTF">2016-11-07T14:21:00Z</dcterms:modified>
</cp:coreProperties>
</file>